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DA6" w:rsidRDefault="00BA4DA6">
      <w:pPr>
        <w:pStyle w:val="normal0"/>
        <w:widowControl w:val="0"/>
        <w:pBdr>
          <w:top w:val="nil"/>
          <w:left w:val="nil"/>
          <w:bottom w:val="nil"/>
          <w:right w:val="nil"/>
          <w:between w:val="nil"/>
        </w:pBdr>
        <w:spacing w:after="0" w:line="276" w:lineRule="auto"/>
        <w:rPr>
          <w:rFonts w:ascii="Arial" w:eastAsia="Arial" w:hAnsi="Arial" w:cs="Arial"/>
          <w:color w:val="000000"/>
        </w:rPr>
      </w:pPr>
    </w:p>
    <w:tbl>
      <w:tblPr>
        <w:tblStyle w:val="a"/>
        <w:tblW w:w="17117" w:type="dxa"/>
        <w:tblBorders>
          <w:top w:val="nil"/>
          <w:left w:val="nil"/>
          <w:bottom w:val="nil"/>
          <w:right w:val="nil"/>
          <w:insideH w:val="nil"/>
          <w:insideV w:val="nil"/>
        </w:tblBorders>
        <w:tblLayout w:type="fixed"/>
        <w:tblLook w:val="0400"/>
      </w:tblPr>
      <w:tblGrid>
        <w:gridCol w:w="7397"/>
        <w:gridCol w:w="1124"/>
        <w:gridCol w:w="3857"/>
        <w:gridCol w:w="970"/>
        <w:gridCol w:w="3769"/>
      </w:tblGrid>
      <w:tr w:rsidR="00BA4DA6">
        <w:tc>
          <w:tcPr>
            <w:tcW w:w="7398" w:type="dxa"/>
            <w:tcBorders>
              <w:bottom w:val="single" w:sz="4" w:space="0" w:color="000000"/>
            </w:tcBorders>
          </w:tcPr>
          <w:p w:rsidR="00BA4DA6" w:rsidRPr="0080367B" w:rsidRDefault="0080367B">
            <w:pPr>
              <w:pStyle w:val="normal0"/>
              <w:rPr>
                <w:b/>
                <w:sz w:val="24"/>
                <w:szCs w:val="24"/>
              </w:rPr>
            </w:pPr>
            <w:r>
              <w:rPr>
                <w:b/>
                <w:sz w:val="24"/>
                <w:szCs w:val="24"/>
              </w:rPr>
              <w:t>Balahadia,                                        Mark Erickson,                                        R.</w:t>
            </w:r>
          </w:p>
        </w:tc>
        <w:tc>
          <w:tcPr>
            <w:tcW w:w="1124" w:type="dxa"/>
          </w:tcPr>
          <w:p w:rsidR="00BA4DA6" w:rsidRDefault="00BA4DA6">
            <w:pPr>
              <w:pStyle w:val="normal0"/>
              <w:rPr>
                <w:sz w:val="24"/>
                <w:szCs w:val="24"/>
              </w:rPr>
            </w:pPr>
          </w:p>
        </w:tc>
        <w:tc>
          <w:tcPr>
            <w:tcW w:w="3857" w:type="dxa"/>
            <w:tcBorders>
              <w:bottom w:val="single" w:sz="4" w:space="0" w:color="000000"/>
            </w:tcBorders>
          </w:tcPr>
          <w:p w:rsidR="00BA4DA6" w:rsidRDefault="0080367B">
            <w:pPr>
              <w:pStyle w:val="normal0"/>
              <w:rPr>
                <w:b/>
                <w:sz w:val="24"/>
                <w:szCs w:val="24"/>
              </w:rPr>
            </w:pPr>
            <w:r>
              <w:rPr>
                <w:b/>
                <w:sz w:val="24"/>
                <w:szCs w:val="24"/>
              </w:rPr>
              <w:t xml:space="preserve">                            BSC 1-3</w:t>
            </w:r>
          </w:p>
        </w:tc>
        <w:tc>
          <w:tcPr>
            <w:tcW w:w="970" w:type="dxa"/>
          </w:tcPr>
          <w:p w:rsidR="00BA4DA6" w:rsidRDefault="00BA4DA6">
            <w:pPr>
              <w:pStyle w:val="normal0"/>
              <w:rPr>
                <w:b/>
                <w:sz w:val="24"/>
                <w:szCs w:val="24"/>
              </w:rPr>
            </w:pPr>
          </w:p>
        </w:tc>
        <w:tc>
          <w:tcPr>
            <w:tcW w:w="3769" w:type="dxa"/>
            <w:tcBorders>
              <w:bottom w:val="single" w:sz="4" w:space="0" w:color="000000"/>
            </w:tcBorders>
          </w:tcPr>
          <w:p w:rsidR="00BA4DA6" w:rsidRDefault="00F149BB">
            <w:pPr>
              <w:pStyle w:val="normal0"/>
              <w:rPr>
                <w:b/>
                <w:sz w:val="24"/>
                <w:szCs w:val="24"/>
              </w:rPr>
            </w:pPr>
            <w:r>
              <w:rPr>
                <w:b/>
                <w:sz w:val="24"/>
                <w:szCs w:val="24"/>
              </w:rPr>
              <w:t>Prof. Mc Donald M. Pascual</w:t>
            </w:r>
          </w:p>
        </w:tc>
      </w:tr>
      <w:tr w:rsidR="00BA4DA6">
        <w:tc>
          <w:tcPr>
            <w:tcW w:w="7398" w:type="dxa"/>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c>
          <w:tcPr>
            <w:tcW w:w="1124" w:type="dxa"/>
          </w:tcPr>
          <w:p w:rsidR="00BA4DA6" w:rsidRDefault="00BA4DA6">
            <w:pPr>
              <w:pStyle w:val="normal0"/>
              <w:rPr>
                <w:sz w:val="24"/>
                <w:szCs w:val="24"/>
              </w:rPr>
            </w:pPr>
          </w:p>
        </w:tc>
        <w:tc>
          <w:tcPr>
            <w:tcW w:w="3857" w:type="dxa"/>
            <w:tcBorders>
              <w:top w:val="single" w:sz="4" w:space="0" w:color="000000"/>
            </w:tcBorders>
          </w:tcPr>
          <w:p w:rsidR="00BA4DA6" w:rsidRDefault="00F149BB">
            <w:pPr>
              <w:pStyle w:val="normal0"/>
              <w:jc w:val="center"/>
              <w:rPr>
                <w:sz w:val="24"/>
                <w:szCs w:val="24"/>
              </w:rPr>
            </w:pPr>
            <w:r>
              <w:rPr>
                <w:sz w:val="24"/>
                <w:szCs w:val="24"/>
              </w:rPr>
              <w:t>Course, Year and Section</w:t>
            </w:r>
          </w:p>
        </w:tc>
        <w:tc>
          <w:tcPr>
            <w:tcW w:w="970" w:type="dxa"/>
          </w:tcPr>
          <w:p w:rsidR="00BA4DA6" w:rsidRDefault="00BA4DA6">
            <w:pPr>
              <w:pStyle w:val="normal0"/>
              <w:rPr>
                <w:sz w:val="24"/>
                <w:szCs w:val="24"/>
              </w:rPr>
            </w:pPr>
          </w:p>
        </w:tc>
        <w:tc>
          <w:tcPr>
            <w:tcW w:w="3769" w:type="dxa"/>
            <w:tcBorders>
              <w:top w:val="single" w:sz="4" w:space="0" w:color="000000"/>
            </w:tcBorders>
          </w:tcPr>
          <w:p w:rsidR="00BA4DA6" w:rsidRDefault="00F149BB">
            <w:pPr>
              <w:pStyle w:val="normal0"/>
              <w:jc w:val="center"/>
              <w:rPr>
                <w:sz w:val="24"/>
                <w:szCs w:val="24"/>
              </w:rPr>
            </w:pPr>
            <w:r>
              <w:rPr>
                <w:sz w:val="24"/>
                <w:szCs w:val="24"/>
              </w:rPr>
              <w:t>Instructor</w:t>
            </w:r>
          </w:p>
        </w:tc>
      </w:tr>
      <w:tr w:rsidR="00BA4DA6">
        <w:tc>
          <w:tcPr>
            <w:tcW w:w="7398" w:type="dxa"/>
            <w:tcBorders>
              <w:bottom w:val="single" w:sz="4" w:space="0" w:color="000000"/>
            </w:tcBorders>
          </w:tcPr>
          <w:p w:rsidR="00BA4DA6" w:rsidRPr="0080367B" w:rsidRDefault="0080367B">
            <w:pPr>
              <w:pStyle w:val="normal0"/>
              <w:rPr>
                <w:b/>
                <w:sz w:val="24"/>
                <w:szCs w:val="24"/>
              </w:rPr>
            </w:pPr>
            <w:r>
              <w:rPr>
                <w:b/>
                <w:sz w:val="24"/>
                <w:szCs w:val="24"/>
              </w:rPr>
              <w:t xml:space="preserve">  Patubo,                                                 Jastine,</w:t>
            </w:r>
          </w:p>
        </w:tc>
        <w:tc>
          <w:tcPr>
            <w:tcW w:w="1124" w:type="dxa"/>
          </w:tcPr>
          <w:p w:rsidR="00BA4DA6" w:rsidRDefault="00BA4DA6">
            <w:pPr>
              <w:pStyle w:val="normal0"/>
              <w:rPr>
                <w:sz w:val="24"/>
                <w:szCs w:val="24"/>
              </w:rPr>
            </w:pPr>
          </w:p>
        </w:tc>
        <w:tc>
          <w:tcPr>
            <w:tcW w:w="8596" w:type="dxa"/>
            <w:gridSpan w:val="3"/>
            <w:tcBorders>
              <w:bottom w:val="single" w:sz="4" w:space="0" w:color="000000"/>
            </w:tcBorders>
          </w:tcPr>
          <w:p w:rsidR="00BA4DA6" w:rsidRDefault="002A0BD1">
            <w:pPr>
              <w:pStyle w:val="normal0"/>
              <w:rPr>
                <w:b/>
                <w:sz w:val="24"/>
                <w:szCs w:val="24"/>
              </w:rPr>
            </w:pPr>
            <w:r>
              <w:rPr>
                <w:b/>
                <w:sz w:val="24"/>
                <w:szCs w:val="24"/>
              </w:rPr>
              <w:t>Martinez,                                                Joyce</w:t>
            </w:r>
          </w:p>
        </w:tc>
      </w:tr>
      <w:tr w:rsidR="00BA4DA6">
        <w:tc>
          <w:tcPr>
            <w:tcW w:w="7398" w:type="dxa"/>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c>
          <w:tcPr>
            <w:tcW w:w="1124" w:type="dxa"/>
          </w:tcPr>
          <w:p w:rsidR="00BA4DA6" w:rsidRDefault="00BA4DA6">
            <w:pPr>
              <w:pStyle w:val="normal0"/>
              <w:rPr>
                <w:sz w:val="24"/>
                <w:szCs w:val="24"/>
              </w:rPr>
            </w:pPr>
          </w:p>
        </w:tc>
        <w:tc>
          <w:tcPr>
            <w:tcW w:w="8596" w:type="dxa"/>
            <w:gridSpan w:val="3"/>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r>
      <w:tr w:rsidR="00BA4DA6">
        <w:tc>
          <w:tcPr>
            <w:tcW w:w="7398" w:type="dxa"/>
            <w:tcBorders>
              <w:bottom w:val="single" w:sz="4" w:space="0" w:color="000000"/>
            </w:tcBorders>
          </w:tcPr>
          <w:p w:rsidR="00BA4DA6" w:rsidRPr="0080367B" w:rsidRDefault="0080367B">
            <w:pPr>
              <w:pStyle w:val="normal0"/>
              <w:rPr>
                <w:b/>
                <w:sz w:val="24"/>
                <w:szCs w:val="24"/>
              </w:rPr>
            </w:pPr>
            <w:r>
              <w:rPr>
                <w:b/>
                <w:sz w:val="24"/>
                <w:szCs w:val="24"/>
              </w:rPr>
              <w:t xml:space="preserve">  Gullez,                                                    Jerryl,</w:t>
            </w:r>
          </w:p>
        </w:tc>
        <w:tc>
          <w:tcPr>
            <w:tcW w:w="1124" w:type="dxa"/>
          </w:tcPr>
          <w:p w:rsidR="00BA4DA6" w:rsidRDefault="00BA4DA6">
            <w:pPr>
              <w:pStyle w:val="normal0"/>
              <w:rPr>
                <w:sz w:val="24"/>
                <w:szCs w:val="24"/>
              </w:rPr>
            </w:pPr>
          </w:p>
        </w:tc>
        <w:tc>
          <w:tcPr>
            <w:tcW w:w="8596" w:type="dxa"/>
            <w:gridSpan w:val="3"/>
            <w:tcBorders>
              <w:bottom w:val="single" w:sz="4" w:space="0" w:color="000000"/>
            </w:tcBorders>
          </w:tcPr>
          <w:p w:rsidR="00BA4DA6" w:rsidRDefault="00BA4DA6">
            <w:pPr>
              <w:pStyle w:val="normal0"/>
              <w:rPr>
                <w:b/>
                <w:sz w:val="24"/>
                <w:szCs w:val="24"/>
              </w:rPr>
            </w:pPr>
          </w:p>
        </w:tc>
      </w:tr>
      <w:tr w:rsidR="00BA4DA6">
        <w:tc>
          <w:tcPr>
            <w:tcW w:w="7398" w:type="dxa"/>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c>
          <w:tcPr>
            <w:tcW w:w="1124" w:type="dxa"/>
          </w:tcPr>
          <w:p w:rsidR="00BA4DA6" w:rsidRDefault="00BA4DA6">
            <w:pPr>
              <w:pStyle w:val="normal0"/>
              <w:rPr>
                <w:sz w:val="16"/>
                <w:szCs w:val="16"/>
              </w:rPr>
            </w:pPr>
          </w:p>
        </w:tc>
        <w:tc>
          <w:tcPr>
            <w:tcW w:w="8596" w:type="dxa"/>
            <w:gridSpan w:val="3"/>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r>
      <w:tr w:rsidR="00BA4DA6">
        <w:tc>
          <w:tcPr>
            <w:tcW w:w="7398" w:type="dxa"/>
            <w:tcBorders>
              <w:bottom w:val="single" w:sz="4" w:space="0" w:color="000000"/>
            </w:tcBorders>
          </w:tcPr>
          <w:p w:rsidR="00BA4DA6" w:rsidRPr="0080367B" w:rsidRDefault="0080367B">
            <w:pPr>
              <w:pStyle w:val="normal0"/>
              <w:rPr>
                <w:b/>
                <w:sz w:val="24"/>
                <w:szCs w:val="24"/>
              </w:rPr>
            </w:pPr>
            <w:r>
              <w:rPr>
                <w:b/>
                <w:sz w:val="24"/>
                <w:szCs w:val="24"/>
              </w:rPr>
              <w:t>Rasquero,                                    Aelleine Trishia Mae,</w:t>
            </w:r>
          </w:p>
        </w:tc>
        <w:tc>
          <w:tcPr>
            <w:tcW w:w="1124" w:type="dxa"/>
          </w:tcPr>
          <w:p w:rsidR="00BA4DA6" w:rsidRDefault="00BA4DA6">
            <w:pPr>
              <w:pStyle w:val="normal0"/>
              <w:rPr>
                <w:sz w:val="24"/>
                <w:szCs w:val="24"/>
              </w:rPr>
            </w:pPr>
          </w:p>
        </w:tc>
        <w:tc>
          <w:tcPr>
            <w:tcW w:w="8596" w:type="dxa"/>
            <w:gridSpan w:val="3"/>
            <w:tcBorders>
              <w:bottom w:val="single" w:sz="4" w:space="0" w:color="000000"/>
            </w:tcBorders>
          </w:tcPr>
          <w:p w:rsidR="00BA4DA6" w:rsidRDefault="00BA4DA6">
            <w:pPr>
              <w:pStyle w:val="normal0"/>
              <w:rPr>
                <w:b/>
                <w:sz w:val="24"/>
                <w:szCs w:val="24"/>
              </w:rPr>
            </w:pPr>
          </w:p>
        </w:tc>
      </w:tr>
      <w:tr w:rsidR="00BA4DA6">
        <w:tc>
          <w:tcPr>
            <w:tcW w:w="7398" w:type="dxa"/>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c>
          <w:tcPr>
            <w:tcW w:w="1124" w:type="dxa"/>
          </w:tcPr>
          <w:p w:rsidR="00BA4DA6" w:rsidRDefault="00BA4DA6">
            <w:pPr>
              <w:pStyle w:val="normal0"/>
              <w:rPr>
                <w:sz w:val="16"/>
                <w:szCs w:val="16"/>
              </w:rPr>
            </w:pPr>
          </w:p>
        </w:tc>
        <w:tc>
          <w:tcPr>
            <w:tcW w:w="8596" w:type="dxa"/>
            <w:gridSpan w:val="3"/>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r>
      <w:tr w:rsidR="00BA4DA6">
        <w:tc>
          <w:tcPr>
            <w:tcW w:w="7398" w:type="dxa"/>
            <w:tcBorders>
              <w:bottom w:val="single" w:sz="4" w:space="0" w:color="000000"/>
            </w:tcBorders>
          </w:tcPr>
          <w:p w:rsidR="00BA4DA6" w:rsidRPr="0080367B" w:rsidRDefault="0080367B">
            <w:pPr>
              <w:pStyle w:val="normal0"/>
              <w:rPr>
                <w:b/>
                <w:sz w:val="24"/>
                <w:szCs w:val="24"/>
              </w:rPr>
            </w:pPr>
            <w:r>
              <w:rPr>
                <w:b/>
                <w:sz w:val="24"/>
                <w:szCs w:val="24"/>
              </w:rPr>
              <w:t xml:space="preserve">  Dacles,                                                 Gerlie,</w:t>
            </w:r>
          </w:p>
        </w:tc>
        <w:tc>
          <w:tcPr>
            <w:tcW w:w="1124" w:type="dxa"/>
          </w:tcPr>
          <w:p w:rsidR="00BA4DA6" w:rsidRDefault="00BA4DA6">
            <w:pPr>
              <w:pStyle w:val="normal0"/>
              <w:rPr>
                <w:sz w:val="24"/>
                <w:szCs w:val="24"/>
              </w:rPr>
            </w:pPr>
          </w:p>
        </w:tc>
        <w:tc>
          <w:tcPr>
            <w:tcW w:w="8596" w:type="dxa"/>
            <w:gridSpan w:val="3"/>
            <w:tcBorders>
              <w:bottom w:val="single" w:sz="4" w:space="0" w:color="000000"/>
            </w:tcBorders>
          </w:tcPr>
          <w:p w:rsidR="00BA4DA6" w:rsidRDefault="00BA4DA6">
            <w:pPr>
              <w:pStyle w:val="normal0"/>
              <w:rPr>
                <w:b/>
                <w:sz w:val="24"/>
                <w:szCs w:val="24"/>
              </w:rPr>
            </w:pPr>
          </w:p>
        </w:tc>
      </w:tr>
      <w:tr w:rsidR="00BA4DA6">
        <w:tc>
          <w:tcPr>
            <w:tcW w:w="7398" w:type="dxa"/>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c>
          <w:tcPr>
            <w:tcW w:w="1124" w:type="dxa"/>
          </w:tcPr>
          <w:p w:rsidR="00BA4DA6" w:rsidRDefault="00BA4DA6">
            <w:pPr>
              <w:pStyle w:val="normal0"/>
              <w:rPr>
                <w:sz w:val="16"/>
                <w:szCs w:val="16"/>
              </w:rPr>
            </w:pPr>
          </w:p>
        </w:tc>
        <w:tc>
          <w:tcPr>
            <w:tcW w:w="8596" w:type="dxa"/>
            <w:gridSpan w:val="3"/>
            <w:tcBorders>
              <w:top w:val="single" w:sz="4" w:space="0" w:color="000000"/>
            </w:tcBorders>
          </w:tcPr>
          <w:p w:rsidR="00BA4DA6" w:rsidRDefault="00F149BB">
            <w:pPr>
              <w:pStyle w:val="normal0"/>
              <w:rPr>
                <w:sz w:val="24"/>
                <w:szCs w:val="24"/>
              </w:rPr>
            </w:pPr>
            <w:r>
              <w:rPr>
                <w:sz w:val="24"/>
                <w:szCs w:val="24"/>
              </w:rPr>
              <w:t xml:space="preserve"> Surname,                                          Given Name                                           M.I. </w:t>
            </w:r>
          </w:p>
          <w:p w:rsidR="00BA4DA6" w:rsidRDefault="00BA4DA6">
            <w:pPr>
              <w:pStyle w:val="normal0"/>
              <w:jc w:val="center"/>
              <w:rPr>
                <w:sz w:val="24"/>
                <w:szCs w:val="24"/>
              </w:rPr>
            </w:pPr>
          </w:p>
        </w:tc>
      </w:tr>
      <w:tr w:rsidR="00BA4DA6">
        <w:tc>
          <w:tcPr>
            <w:tcW w:w="17118" w:type="dxa"/>
            <w:gridSpan w:val="5"/>
          </w:tcPr>
          <w:p w:rsidR="00BA4DA6" w:rsidRDefault="00BA4DA6">
            <w:pPr>
              <w:pStyle w:val="normal0"/>
              <w:rPr>
                <w:sz w:val="16"/>
                <w:szCs w:val="16"/>
              </w:rPr>
            </w:pPr>
          </w:p>
          <w:p w:rsidR="00BA4DA6" w:rsidRDefault="00F149BB">
            <w:pPr>
              <w:pStyle w:val="normal0"/>
              <w:rPr>
                <w:sz w:val="24"/>
                <w:szCs w:val="24"/>
              </w:rPr>
            </w:pPr>
            <w:r>
              <w:rPr>
                <w:b/>
                <w:i/>
                <w:sz w:val="24"/>
                <w:szCs w:val="24"/>
              </w:rPr>
              <w:t>Direction:</w:t>
            </w:r>
            <w:r>
              <w:rPr>
                <w:sz w:val="24"/>
                <w:szCs w:val="24"/>
              </w:rPr>
              <w:t xml:space="preserve">  Read the </w:t>
            </w:r>
            <w:r>
              <w:rPr>
                <w:i/>
                <w:sz w:val="24"/>
                <w:szCs w:val="24"/>
              </w:rPr>
              <w:t>Katipunan and the Revolution: Memoirs of a General</w:t>
            </w:r>
            <w:r>
              <w:rPr>
                <w:sz w:val="24"/>
                <w:szCs w:val="24"/>
              </w:rPr>
              <w:t xml:space="preserve"> by Santiago Alvarez and </w:t>
            </w:r>
            <w:r>
              <w:rPr>
                <w:i/>
                <w:sz w:val="24"/>
                <w:szCs w:val="24"/>
              </w:rPr>
              <w:t>The Revolt of the Masses: The Story of Bonifacio and the Katipunan</w:t>
            </w:r>
            <w:r>
              <w:rPr>
                <w:sz w:val="24"/>
                <w:szCs w:val="24"/>
              </w:rPr>
              <w:t xml:space="preserve"> by </w:t>
            </w:r>
          </w:p>
          <w:p w:rsidR="00BA4DA6" w:rsidRDefault="00F149BB">
            <w:pPr>
              <w:pStyle w:val="normal0"/>
              <w:rPr>
                <w:sz w:val="24"/>
                <w:szCs w:val="24"/>
              </w:rPr>
            </w:pPr>
            <w:r>
              <w:rPr>
                <w:sz w:val="24"/>
                <w:szCs w:val="24"/>
              </w:rPr>
              <w:t xml:space="preserve">                    Teodoro Agoncillo and examine their respective claims about the Tejeros Convention through the matrix below.  A credit of up to 10 points shall be allotted </w:t>
            </w:r>
          </w:p>
          <w:p w:rsidR="00BA4DA6" w:rsidRDefault="00F149BB">
            <w:pPr>
              <w:pStyle w:val="normal0"/>
              <w:rPr>
                <w:sz w:val="24"/>
                <w:szCs w:val="24"/>
              </w:rPr>
            </w:pPr>
            <w:r>
              <w:rPr>
                <w:sz w:val="24"/>
                <w:szCs w:val="24"/>
              </w:rPr>
              <w:t xml:space="preserve">                    for each item in each box, hence a total of 200 points for all.</w:t>
            </w: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24"/>
                <w:szCs w:val="24"/>
              </w:rPr>
            </w:pPr>
          </w:p>
          <w:p w:rsidR="00474663" w:rsidRDefault="00474663">
            <w:pPr>
              <w:pStyle w:val="normal0"/>
              <w:rPr>
                <w:sz w:val="18"/>
                <w:szCs w:val="18"/>
              </w:rPr>
            </w:pPr>
          </w:p>
          <w:p w:rsidR="00BA4DA6" w:rsidRDefault="00BA4DA6">
            <w:pPr>
              <w:pStyle w:val="normal0"/>
              <w:rPr>
                <w:sz w:val="20"/>
                <w:szCs w:val="20"/>
              </w:rPr>
            </w:pPr>
          </w:p>
          <w:p w:rsidR="00BA4DA6" w:rsidRDefault="00BA4DA6">
            <w:pPr>
              <w:pStyle w:val="normal0"/>
              <w:rPr>
                <w:sz w:val="20"/>
                <w:szCs w:val="20"/>
              </w:rPr>
            </w:pPr>
          </w:p>
        </w:tc>
      </w:tr>
      <w:tr w:rsidR="00BA4DA6">
        <w:tc>
          <w:tcPr>
            <w:tcW w:w="17118" w:type="dxa"/>
            <w:gridSpan w:val="5"/>
          </w:tcPr>
          <w:p w:rsidR="00BA4DA6" w:rsidRDefault="00F149BB">
            <w:pPr>
              <w:pStyle w:val="normal0"/>
              <w:rPr>
                <w:rFonts w:ascii="Arial" w:eastAsia="Arial" w:hAnsi="Arial" w:cs="Arial"/>
                <w:b/>
              </w:rPr>
            </w:pPr>
            <w:r>
              <w:rPr>
                <w:rFonts w:ascii="Arial" w:eastAsia="Arial" w:hAnsi="Arial" w:cs="Arial"/>
                <w:b/>
              </w:rPr>
              <w:lastRenderedPageBreak/>
              <w:t>A.  TEST OF AUTHENTICITY</w:t>
            </w:r>
          </w:p>
          <w:p w:rsidR="00BA4DA6" w:rsidRDefault="00BA4DA6">
            <w:pPr>
              <w:pStyle w:val="normal0"/>
              <w:rPr>
                <w:b/>
                <w:sz w:val="16"/>
                <w:szCs w:val="16"/>
              </w:rPr>
            </w:pPr>
          </w:p>
        </w:tc>
      </w:tr>
      <w:tr w:rsidR="00BA4DA6">
        <w:tc>
          <w:tcPr>
            <w:tcW w:w="17118" w:type="dxa"/>
            <w:gridSpan w:val="5"/>
          </w:tcPr>
          <w:p w:rsidR="00BA4DA6" w:rsidRDefault="00BA4DA6">
            <w:pPr>
              <w:pStyle w:val="normal0"/>
              <w:widowControl w:val="0"/>
              <w:pBdr>
                <w:top w:val="nil"/>
                <w:left w:val="nil"/>
                <w:bottom w:val="nil"/>
                <w:right w:val="nil"/>
                <w:between w:val="nil"/>
              </w:pBdr>
              <w:spacing w:line="276" w:lineRule="auto"/>
              <w:rPr>
                <w:b/>
                <w:sz w:val="16"/>
                <w:szCs w:val="16"/>
              </w:rPr>
            </w:pPr>
          </w:p>
          <w:tbl>
            <w:tblPr>
              <w:tblStyle w:val="a0"/>
              <w:tblW w:w="16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088"/>
              <w:gridCol w:w="3567"/>
              <w:gridCol w:w="3600"/>
              <w:gridCol w:w="3600"/>
              <w:gridCol w:w="3510"/>
            </w:tblGrid>
            <w:tr w:rsidR="00BA4DA6">
              <w:trPr>
                <w:trHeight w:val="560"/>
              </w:trPr>
              <w:tc>
                <w:tcPr>
                  <w:tcW w:w="2088" w:type="dxa"/>
                  <w:tcBorders>
                    <w:top w:val="single" w:sz="12" w:space="0" w:color="000000"/>
                    <w:left w:val="single" w:sz="12" w:space="0" w:color="000000"/>
                    <w:right w:val="single" w:sz="12" w:space="0" w:color="000000"/>
                  </w:tcBorders>
                  <w:shd w:val="clear" w:color="auto" w:fill="000000"/>
                  <w:vAlign w:val="center"/>
                </w:tcPr>
                <w:p w:rsidR="00BA4DA6" w:rsidRDefault="00F149BB">
                  <w:pPr>
                    <w:pStyle w:val="normal0"/>
                    <w:jc w:val="center"/>
                    <w:rPr>
                      <w:rFonts w:ascii="Arial" w:eastAsia="Arial" w:hAnsi="Arial" w:cs="Arial"/>
                      <w:b/>
                      <w:color w:val="FFFFFF"/>
                    </w:rPr>
                  </w:pPr>
                  <w:r>
                    <w:rPr>
                      <w:rFonts w:ascii="Arial" w:eastAsia="Arial" w:hAnsi="Arial" w:cs="Arial"/>
                      <w:b/>
                      <w:color w:val="FFFFFF"/>
                    </w:rPr>
                    <w:t>SOURCE OF HISTORY</w:t>
                  </w:r>
                </w:p>
              </w:tc>
              <w:tc>
                <w:tcPr>
                  <w:tcW w:w="3567" w:type="dxa"/>
                  <w:shd w:val="clear" w:color="auto" w:fill="000000"/>
                  <w:vAlign w:val="center"/>
                </w:tcPr>
                <w:p w:rsidR="00BA4DA6" w:rsidRDefault="00F149BB">
                  <w:pPr>
                    <w:pStyle w:val="normal0"/>
                    <w:jc w:val="center"/>
                    <w:rPr>
                      <w:rFonts w:ascii="Arial" w:eastAsia="Arial" w:hAnsi="Arial" w:cs="Arial"/>
                    </w:rPr>
                  </w:pPr>
                  <w:r>
                    <w:rPr>
                      <w:rFonts w:ascii="Arial" w:eastAsia="Arial" w:hAnsi="Arial" w:cs="Arial"/>
                      <w:b/>
                      <w:color w:val="FFFFFF"/>
                    </w:rPr>
                    <w:t>Brief Description of the Source</w:t>
                  </w:r>
                </w:p>
              </w:tc>
              <w:tc>
                <w:tcPr>
                  <w:tcW w:w="3600" w:type="dxa"/>
                  <w:shd w:val="clear" w:color="auto" w:fill="000000"/>
                  <w:vAlign w:val="center"/>
                </w:tcPr>
                <w:p w:rsidR="00BA4DA6" w:rsidRDefault="00F149BB">
                  <w:pPr>
                    <w:pStyle w:val="normal0"/>
                    <w:jc w:val="center"/>
                    <w:rPr>
                      <w:rFonts w:ascii="Arial" w:eastAsia="Arial" w:hAnsi="Arial" w:cs="Arial"/>
                    </w:rPr>
                  </w:pPr>
                  <w:r>
                    <w:rPr>
                      <w:rFonts w:ascii="Arial" w:eastAsia="Arial" w:hAnsi="Arial" w:cs="Arial"/>
                      <w:b/>
                      <w:color w:val="FFFFFF"/>
                    </w:rPr>
                    <w:t>The Author/Eyewitness</w:t>
                  </w:r>
                </w:p>
              </w:tc>
              <w:tc>
                <w:tcPr>
                  <w:tcW w:w="3600" w:type="dxa"/>
                  <w:shd w:val="clear" w:color="auto" w:fill="000000"/>
                  <w:vAlign w:val="center"/>
                </w:tcPr>
                <w:p w:rsidR="00BA4DA6" w:rsidRDefault="00F149BB">
                  <w:pPr>
                    <w:pStyle w:val="normal0"/>
                    <w:jc w:val="center"/>
                    <w:rPr>
                      <w:rFonts w:ascii="Arial" w:eastAsia="Arial" w:hAnsi="Arial" w:cs="Arial"/>
                    </w:rPr>
                  </w:pPr>
                  <w:r>
                    <w:rPr>
                      <w:rFonts w:ascii="Arial" w:eastAsia="Arial" w:hAnsi="Arial" w:cs="Arial"/>
                      <w:b/>
                      <w:color w:val="FFFFFF"/>
                    </w:rPr>
                    <w:t>Origin of the Event/Information Narrated</w:t>
                  </w:r>
                </w:p>
              </w:tc>
              <w:tc>
                <w:tcPr>
                  <w:tcW w:w="3510" w:type="dxa"/>
                  <w:shd w:val="clear" w:color="auto" w:fill="000000"/>
                  <w:vAlign w:val="center"/>
                </w:tcPr>
                <w:p w:rsidR="00BA4DA6" w:rsidRDefault="00F149BB">
                  <w:pPr>
                    <w:pStyle w:val="normal0"/>
                    <w:jc w:val="center"/>
                    <w:rPr>
                      <w:rFonts w:ascii="Arial" w:eastAsia="Arial" w:hAnsi="Arial" w:cs="Arial"/>
                      <w:b/>
                      <w:color w:val="FFFFFF"/>
                    </w:rPr>
                  </w:pPr>
                  <w:r>
                    <w:rPr>
                      <w:rFonts w:ascii="Arial" w:eastAsia="Arial" w:hAnsi="Arial" w:cs="Arial"/>
                      <w:b/>
                      <w:color w:val="FFFFFF"/>
                    </w:rPr>
                    <w:t xml:space="preserve">Date of the Event/Information </w:t>
                  </w:r>
                </w:p>
                <w:p w:rsidR="00BA4DA6" w:rsidRDefault="00F149BB">
                  <w:pPr>
                    <w:pStyle w:val="normal0"/>
                    <w:jc w:val="center"/>
                    <w:rPr>
                      <w:rFonts w:ascii="Arial" w:eastAsia="Arial" w:hAnsi="Arial" w:cs="Arial"/>
                    </w:rPr>
                  </w:pPr>
                  <w:r>
                    <w:rPr>
                      <w:rFonts w:ascii="Arial" w:eastAsia="Arial" w:hAnsi="Arial" w:cs="Arial"/>
                      <w:b/>
                      <w:color w:val="FFFFFF"/>
                    </w:rPr>
                    <w:t>and Milieu</w:t>
                  </w:r>
                </w:p>
              </w:tc>
            </w:tr>
            <w:tr w:rsidR="00BA4DA6">
              <w:trPr>
                <w:trHeight w:val="253"/>
              </w:trPr>
              <w:tc>
                <w:tcPr>
                  <w:tcW w:w="2088" w:type="dxa"/>
                  <w:vMerge w:val="restart"/>
                  <w:tcBorders>
                    <w:top w:val="single" w:sz="12" w:space="0" w:color="000000"/>
                    <w:left w:val="single" w:sz="12" w:space="0" w:color="000000"/>
                    <w:right w:val="single" w:sz="12" w:space="0" w:color="000000"/>
                  </w:tcBorders>
                </w:tcPr>
                <w:p w:rsidR="00BA4DA6" w:rsidRDefault="00BA4DA6">
                  <w:pPr>
                    <w:pStyle w:val="normal0"/>
                    <w:rPr>
                      <w:rFonts w:ascii="Arial" w:eastAsia="Arial" w:hAnsi="Arial" w:cs="Arial"/>
                    </w:rPr>
                  </w:pPr>
                </w:p>
                <w:p w:rsidR="00BA4DA6" w:rsidRDefault="00F149BB">
                  <w:pPr>
                    <w:pStyle w:val="normal0"/>
                    <w:rPr>
                      <w:rFonts w:ascii="Arial" w:eastAsia="Arial" w:hAnsi="Arial" w:cs="Arial"/>
                      <w:b/>
                    </w:rPr>
                  </w:pPr>
                  <w:r>
                    <w:rPr>
                      <w:rFonts w:ascii="Arial" w:eastAsia="Arial" w:hAnsi="Arial" w:cs="Arial"/>
                      <w:b/>
                    </w:rPr>
                    <w:t>Katipunan and the Revolution: Memoirs of a General</w:t>
                  </w: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tc>
              <w:tc>
                <w:tcPr>
                  <w:tcW w:w="3567" w:type="dxa"/>
                  <w:vMerge w:val="restart"/>
                  <w:tcBorders>
                    <w:top w:val="single" w:sz="12" w:space="0" w:color="000000"/>
                    <w:left w:val="single" w:sz="12" w:space="0" w:color="000000"/>
                    <w:right w:val="single" w:sz="12" w:space="0" w:color="000000"/>
                  </w:tcBorders>
                </w:tcPr>
                <w:p w:rsidR="00474663" w:rsidRDefault="00474663" w:rsidP="00474663">
                  <w:pPr>
                    <w:pStyle w:val="normal0"/>
                    <w:spacing w:line="360" w:lineRule="auto"/>
                    <w:ind w:left="360"/>
                    <w:jc w:val="both"/>
                    <w:rPr>
                      <w:rFonts w:ascii="Arial" w:eastAsia="Arial" w:hAnsi="Arial" w:cs="Arial"/>
                    </w:rPr>
                  </w:pPr>
                </w:p>
                <w:p w:rsidR="00BA4DA6" w:rsidRDefault="00474663" w:rsidP="00474663">
                  <w:pPr>
                    <w:pStyle w:val="normal0"/>
                    <w:numPr>
                      <w:ilvl w:val="0"/>
                      <w:numId w:val="2"/>
                    </w:numPr>
                    <w:spacing w:line="360" w:lineRule="auto"/>
                    <w:jc w:val="both"/>
                    <w:rPr>
                      <w:rFonts w:ascii="Arial" w:eastAsia="Arial" w:hAnsi="Arial" w:cs="Arial"/>
                    </w:rPr>
                  </w:pPr>
                  <w:r w:rsidRPr="00474663">
                    <w:rPr>
                      <w:rFonts w:ascii="Arial" w:eastAsia="Arial" w:hAnsi="Arial" w:cs="Arial"/>
                    </w:rPr>
                    <w:t>Katipunan and the Revolution: Memoirs of a General by Santiago V. Alvarez is considered as a primary source. In this source, the Tejeros Convention was widely narrated and the claims were deeply discussed because the events are occurring through and through in a long span of time. The happenings before the assembly was convened, unfolds and it turns out that General Magdalo's brother and Lt. Gen Crispulo Aguinald</w:t>
                  </w:r>
                  <w:r w:rsidR="0080367B">
                    <w:rPr>
                      <w:rFonts w:ascii="Arial" w:eastAsia="Arial" w:hAnsi="Arial" w:cs="Arial"/>
                    </w:rPr>
                    <w:t>o</w:t>
                  </w:r>
                  <w:r w:rsidRPr="00474663">
                    <w:rPr>
                      <w:rFonts w:ascii="Arial" w:eastAsia="Arial" w:hAnsi="Arial" w:cs="Arial"/>
                    </w:rPr>
                    <w:t xml:space="preserve"> heroically died, so the convention was moved to hive way for mourning. It is said here that the Tejeros </w:t>
                  </w:r>
                  <w:r w:rsidRPr="00474663">
                    <w:rPr>
                      <w:rFonts w:ascii="Arial" w:eastAsia="Arial" w:hAnsi="Arial" w:cs="Arial"/>
                    </w:rPr>
                    <w:lastRenderedPageBreak/>
                    <w:t xml:space="preserve">was finally convened on March 25, 1897 at San Francisco De Malabon. According to this memoir the convention did not go well because there are evident fraud, unrespectfulness and traitors that are participating on the said event. This source proved the claims that the Magdalo and Magdiwang parties are not in a good relationship at the moment and the equality between two parties are not even there. This source exposed everything that happened before, during and after the Tejeros Convention convened and why did all matters approved in that meeting was declared null and void by Supremo Bonifacio. </w:t>
                  </w:r>
                  <w:r w:rsidRPr="00474663">
                    <w:rPr>
                      <w:rFonts w:ascii="Arial" w:eastAsia="Arial" w:hAnsi="Arial" w:cs="Arial"/>
                    </w:rPr>
                    <w:lastRenderedPageBreak/>
                    <w:t>Clearly, this memoir opened our eyes to the truth and convey stories and messages that would remain the heart and mind of a true Filipino.</w:t>
                  </w:r>
                </w:p>
              </w:tc>
              <w:tc>
                <w:tcPr>
                  <w:tcW w:w="3600" w:type="dxa"/>
                  <w:vMerge w:val="restart"/>
                  <w:tcBorders>
                    <w:top w:val="single" w:sz="12" w:space="0" w:color="000000"/>
                    <w:left w:val="single" w:sz="12" w:space="0" w:color="000000"/>
                    <w:right w:val="single" w:sz="12" w:space="0" w:color="000000"/>
                  </w:tcBorders>
                </w:tcPr>
                <w:p w:rsidR="00BA4DA6" w:rsidRDefault="00BA4DA6" w:rsidP="00474663">
                  <w:pPr>
                    <w:pStyle w:val="normal0"/>
                    <w:spacing w:line="360" w:lineRule="auto"/>
                    <w:rPr>
                      <w:rFonts w:ascii="Arial" w:eastAsia="Arial" w:hAnsi="Arial" w:cs="Arial"/>
                    </w:rPr>
                  </w:pPr>
                </w:p>
                <w:p w:rsidR="00474663" w:rsidRDefault="00474663" w:rsidP="00474663">
                  <w:pPr>
                    <w:pStyle w:val="normal0"/>
                    <w:numPr>
                      <w:ilvl w:val="0"/>
                      <w:numId w:val="2"/>
                    </w:numPr>
                    <w:spacing w:line="360" w:lineRule="auto"/>
                    <w:jc w:val="both"/>
                    <w:rPr>
                      <w:rFonts w:ascii="Arial" w:eastAsia="Arial" w:hAnsi="Arial" w:cs="Arial"/>
                    </w:rPr>
                  </w:pPr>
                  <w:r w:rsidRPr="00474663">
                    <w:rPr>
                      <w:rFonts w:ascii="Arial" w:eastAsia="Arial" w:hAnsi="Arial" w:cs="Arial"/>
                    </w:rPr>
                    <w:t>The author/eyewitness of the Katipunan and Revolution: Memoirs of a General is Santiago V. Alvarez. He is the son of Mariano Alvarez, the general of army on the Magdiwang faction. He wrote his memoirs on 1927 and he was already fifty-five years old. The memoirs began on March 14, 1896, when he accompanied Emilio Aguinaldo and Raymundo Mata, bo</w:t>
                  </w:r>
                  <w:r w:rsidR="0080367B">
                    <w:rPr>
                      <w:rFonts w:ascii="Arial" w:eastAsia="Arial" w:hAnsi="Arial" w:cs="Arial"/>
                    </w:rPr>
                    <w:t xml:space="preserve">th </w:t>
                  </w:r>
                  <w:r w:rsidRPr="00474663">
                    <w:rPr>
                      <w:rFonts w:ascii="Arial" w:eastAsia="Arial" w:hAnsi="Arial" w:cs="Arial"/>
                    </w:rPr>
                    <w:t xml:space="preserve">the fellow Caviteños, to Manila for their initiation into the Katipunan by Andres Bonifacio himself. From August 1896 to August 1901, he claimed to be one </w:t>
                  </w:r>
                  <w:r w:rsidRPr="00474663">
                    <w:rPr>
                      <w:rFonts w:ascii="Arial" w:eastAsia="Arial" w:hAnsi="Arial" w:cs="Arial"/>
                    </w:rPr>
                    <w:lastRenderedPageBreak/>
                    <w:t>of the Revolutionaries and he is a member and a delegate of the Katipunan. His memoirs are based on notes and records that he kept and entru</w:t>
                  </w:r>
                  <w:r w:rsidR="001619C9">
                    <w:rPr>
                      <w:rFonts w:ascii="Arial" w:eastAsia="Arial" w:hAnsi="Arial" w:cs="Arial"/>
                    </w:rPr>
                    <w:t>s</w:t>
                  </w:r>
                  <w:r w:rsidRPr="00474663">
                    <w:rPr>
                      <w:rFonts w:ascii="Arial" w:eastAsia="Arial" w:hAnsi="Arial" w:cs="Arial"/>
                    </w:rPr>
                    <w:t>ted to him by "the original founders of the Katipunan". He is not only an eyewitness but also an active participant of the events he narrated.</w:t>
                  </w:r>
                </w:p>
              </w:tc>
              <w:tc>
                <w:tcPr>
                  <w:tcW w:w="3600" w:type="dxa"/>
                  <w:vMerge w:val="restart"/>
                  <w:tcBorders>
                    <w:top w:val="single" w:sz="12" w:space="0" w:color="000000"/>
                    <w:left w:val="single" w:sz="12" w:space="0" w:color="000000"/>
                    <w:right w:val="single" w:sz="12" w:space="0" w:color="000000"/>
                  </w:tcBorders>
                </w:tcPr>
                <w:p w:rsidR="00BA4DA6" w:rsidRDefault="00BA4DA6" w:rsidP="00474663">
                  <w:pPr>
                    <w:pStyle w:val="normal0"/>
                    <w:spacing w:line="360" w:lineRule="auto"/>
                    <w:rPr>
                      <w:rFonts w:ascii="Arial" w:eastAsia="Arial" w:hAnsi="Arial" w:cs="Arial"/>
                    </w:rPr>
                  </w:pPr>
                </w:p>
                <w:p w:rsidR="00474663" w:rsidRDefault="00474663" w:rsidP="00474663">
                  <w:pPr>
                    <w:pStyle w:val="normal0"/>
                    <w:numPr>
                      <w:ilvl w:val="0"/>
                      <w:numId w:val="2"/>
                    </w:numPr>
                    <w:spacing w:line="360" w:lineRule="auto"/>
                    <w:jc w:val="both"/>
                    <w:rPr>
                      <w:rFonts w:ascii="Arial" w:eastAsia="Arial" w:hAnsi="Arial" w:cs="Arial"/>
                    </w:rPr>
                  </w:pPr>
                  <w:r w:rsidRPr="00474663">
                    <w:rPr>
                      <w:rFonts w:ascii="Arial" w:eastAsia="Arial" w:hAnsi="Arial" w:cs="Arial"/>
                    </w:rPr>
                    <w:t xml:space="preserve">The Tejeros Convention originated at San Francisco De Malabon. It was held on March 25, 1987 between the Magdiwang and Magdalo factions. This assembly was the first presidential and vice presidential elections in Philippines history. The Revolution was facing a grave crisis and the Katipunan forces in Cavite were suffering defeat after defeat with great loss of life. Everything starts to disintegrate and the provinces are continuing to fall on the hands of the Spaniards so, Supremo Bonifacio and the other </w:t>
                  </w:r>
                  <w:r w:rsidRPr="00474663">
                    <w:rPr>
                      <w:rFonts w:ascii="Arial" w:eastAsia="Arial" w:hAnsi="Arial" w:cs="Arial"/>
                    </w:rPr>
                    <w:lastRenderedPageBreak/>
                    <w:t>revolutionary leaders have decided to held a meeting in a friar estate residence in Tejeros. The purpose of this meeting is for them to formulate a plan that would strengthen the defense of both factions, the Magdalo and Magdiwang, to stop the Spaniards from advancing into the rest of the provinces. Also, to settle once and for all the escalating tension between the factions and to clear the issue of governance within the Katipunan through an election.</w:t>
                  </w:r>
                </w:p>
              </w:tc>
              <w:tc>
                <w:tcPr>
                  <w:tcW w:w="3510" w:type="dxa"/>
                  <w:vMerge w:val="restart"/>
                  <w:tcBorders>
                    <w:top w:val="single" w:sz="12" w:space="0" w:color="000000"/>
                    <w:left w:val="single" w:sz="12" w:space="0" w:color="000000"/>
                    <w:right w:val="single" w:sz="12" w:space="0" w:color="000000"/>
                  </w:tcBorders>
                </w:tcPr>
                <w:p w:rsidR="00BA4DA6" w:rsidRDefault="00BA4DA6">
                  <w:pPr>
                    <w:pStyle w:val="normal0"/>
                    <w:rPr>
                      <w:rFonts w:ascii="Arial" w:eastAsia="Arial" w:hAnsi="Arial" w:cs="Arial"/>
                      <w:vertAlign w:val="subscript"/>
                    </w:rPr>
                  </w:pPr>
                </w:p>
                <w:p w:rsidR="00474663" w:rsidRPr="00474663" w:rsidRDefault="00474663" w:rsidP="00474663">
                  <w:pPr>
                    <w:pStyle w:val="normal0"/>
                    <w:numPr>
                      <w:ilvl w:val="0"/>
                      <w:numId w:val="2"/>
                    </w:numPr>
                    <w:spacing w:line="360" w:lineRule="auto"/>
                    <w:jc w:val="both"/>
                    <w:rPr>
                      <w:rFonts w:ascii="Arial" w:eastAsia="Arial" w:hAnsi="Arial" w:cs="Arial"/>
                    </w:rPr>
                  </w:pPr>
                  <w:r w:rsidRPr="00474663">
                    <w:rPr>
                      <w:rFonts w:ascii="Arial" w:eastAsia="Arial" w:hAnsi="Arial" w:cs="Arial"/>
                    </w:rPr>
                    <w:t xml:space="preserve">According to the memoir by Santiago Alvarez that I've read, the Tejeros Convention is scheduled on March 24, 1897 but it is postponed and moved on March 25, 1897 due to the sudden death of Lt. Gen Crispulo Aguinaldo and General Magdalo's brother. It is convened at the friar estate house in Tejeros, a barrio of San Francisco De Malabon. The invitations of the the meeting were signed by Secretary Jacinto Lumbreras and seated with him at the long presidential table were the Supremo Andres Bonifacio, Messrs. </w:t>
                  </w:r>
                  <w:r w:rsidRPr="00474663">
                    <w:rPr>
                      <w:rFonts w:ascii="Arial" w:eastAsia="Arial" w:hAnsi="Arial" w:cs="Arial"/>
                    </w:rPr>
                    <w:lastRenderedPageBreak/>
                    <w:t xml:space="preserve">Mariano M. Alvarez, Pascual Alvarez, Ariston Villanueva, Mariano C. Trias, Diego Mojica, Emiliano R. de Dros, Santiago V. Alvarez, Artemio Ricarte, Santos Nocon, Luciano San Miguel, Pablo Mojica, Severino de las Alas and Santiago Rillo, all of them of the Magdiwang. Among the Magdalo seated at the head table were Messrs. Baldomero Aguinaldo, Daniel Tirona and Cayetano Topacio. The leaders were seated at the presidential table, as previously described, and all the others were standing in groups on both sides of those seated. The environment is full of tension and stress, it's like everyone is </w:t>
                  </w:r>
                  <w:r w:rsidRPr="00474663">
                    <w:rPr>
                      <w:rFonts w:ascii="Arial" w:eastAsia="Arial" w:hAnsi="Arial" w:cs="Arial"/>
                    </w:rPr>
                    <w:lastRenderedPageBreak/>
                    <w:t>a ticking bomb that is awaiting to explode.</w:t>
                  </w:r>
                </w:p>
              </w:tc>
            </w:tr>
            <w:tr w:rsidR="00BA4DA6">
              <w:trPr>
                <w:trHeight w:val="291"/>
              </w:trPr>
              <w:tc>
                <w:tcPr>
                  <w:tcW w:w="2088"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567"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60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60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51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r>
            <w:tr w:rsidR="00BA4DA6">
              <w:trPr>
                <w:trHeight w:val="2060"/>
              </w:trPr>
              <w:tc>
                <w:tcPr>
                  <w:tcW w:w="2088" w:type="dxa"/>
                  <w:tcBorders>
                    <w:top w:val="single" w:sz="12" w:space="0" w:color="000000"/>
                    <w:left w:val="single" w:sz="12" w:space="0" w:color="000000"/>
                    <w:bottom w:val="single" w:sz="4" w:space="0" w:color="000000"/>
                    <w:right w:val="single" w:sz="12" w:space="0" w:color="000000"/>
                  </w:tcBorders>
                </w:tcPr>
                <w:p w:rsidR="00BA4DA6" w:rsidRDefault="00BA4DA6">
                  <w:pPr>
                    <w:pStyle w:val="normal0"/>
                    <w:rPr>
                      <w:rFonts w:ascii="Arial" w:eastAsia="Arial" w:hAnsi="Arial" w:cs="Arial"/>
                    </w:rPr>
                  </w:pPr>
                </w:p>
                <w:p w:rsidR="00BA4DA6" w:rsidRDefault="00F149BB">
                  <w:pPr>
                    <w:pStyle w:val="normal0"/>
                    <w:rPr>
                      <w:rFonts w:ascii="Arial" w:eastAsia="Arial" w:hAnsi="Arial" w:cs="Arial"/>
                      <w:b/>
                    </w:rPr>
                  </w:pPr>
                  <w:r>
                    <w:rPr>
                      <w:rFonts w:ascii="Arial" w:eastAsia="Arial" w:hAnsi="Arial" w:cs="Arial"/>
                      <w:b/>
                    </w:rPr>
                    <w:t>The Revolt of the Masses: The Story of Bonifacio and the Katipunan</w:t>
                  </w: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tc>
              <w:tc>
                <w:tcPr>
                  <w:tcW w:w="3567" w:type="dxa"/>
                  <w:tcBorders>
                    <w:top w:val="single" w:sz="12" w:space="0" w:color="000000"/>
                    <w:left w:val="single" w:sz="12" w:space="0" w:color="000000"/>
                    <w:bottom w:val="single" w:sz="4" w:space="0" w:color="000000"/>
                    <w:right w:val="single" w:sz="12" w:space="0" w:color="000000"/>
                  </w:tcBorders>
                </w:tcPr>
                <w:p w:rsidR="001F49BE" w:rsidRDefault="001F49BE" w:rsidP="001F49BE">
                  <w:pPr>
                    <w:pStyle w:val="normal0"/>
                    <w:spacing w:line="360" w:lineRule="auto"/>
                    <w:ind w:left="720"/>
                    <w:jc w:val="both"/>
                    <w:rPr>
                      <w:rFonts w:ascii="Arial" w:eastAsia="Arial" w:hAnsi="Arial" w:cs="Arial"/>
                    </w:rPr>
                  </w:pPr>
                </w:p>
                <w:p w:rsidR="00BA4DA6" w:rsidRDefault="001F49BE" w:rsidP="001F49BE">
                  <w:pPr>
                    <w:pStyle w:val="normal0"/>
                    <w:numPr>
                      <w:ilvl w:val="0"/>
                      <w:numId w:val="8"/>
                    </w:numPr>
                    <w:spacing w:line="360" w:lineRule="auto"/>
                    <w:jc w:val="both"/>
                    <w:rPr>
                      <w:rFonts w:ascii="Arial" w:eastAsia="Arial" w:hAnsi="Arial" w:cs="Arial"/>
                    </w:rPr>
                  </w:pPr>
                  <w:r>
                    <w:rPr>
                      <w:rFonts w:ascii="Arial" w:eastAsia="Arial" w:hAnsi="Arial" w:cs="Arial"/>
                    </w:rPr>
                    <w:t>The story of A</w:t>
                  </w:r>
                  <w:r w:rsidRPr="001F49BE">
                    <w:rPr>
                      <w:rFonts w:ascii="Arial" w:eastAsia="Arial" w:hAnsi="Arial" w:cs="Arial"/>
                    </w:rPr>
                    <w:t xml:space="preserve">ndres bonifacio and the katipunan is considered as a secondary source because I have found out that teodoro agoncillo  doesn’t have direct involvement in the tejeros convention but it those not mean that  his claims are not authentic because all the information he has written was directly narrated by the active participants of the tejeros convention which is considered as a primary source. Agoncillo may not be an active participant </w:t>
                  </w:r>
                  <w:r w:rsidRPr="001F49BE">
                    <w:rPr>
                      <w:rFonts w:ascii="Arial" w:eastAsia="Arial" w:hAnsi="Arial" w:cs="Arial"/>
                    </w:rPr>
                    <w:lastRenderedPageBreak/>
                    <w:t>though he has the ability to distinguish authentic from fake or misleading information  from the eye witness of the event because of his good reputation as writer, professor and an historian with this we can say that he has the capability to produce a book that is authentic. He is known for his valuable contribution in writing the Philippine history that only means that his obra are essential and important in our history.</w:t>
                  </w:r>
                </w:p>
              </w:tc>
              <w:tc>
                <w:tcPr>
                  <w:tcW w:w="3600" w:type="dxa"/>
                  <w:tcBorders>
                    <w:top w:val="single" w:sz="12" w:space="0" w:color="000000"/>
                    <w:left w:val="single" w:sz="12" w:space="0" w:color="000000"/>
                    <w:right w:val="single" w:sz="12" w:space="0" w:color="000000"/>
                  </w:tcBorders>
                </w:tcPr>
                <w:p w:rsidR="001F49BE" w:rsidRDefault="001F49BE" w:rsidP="001F49BE">
                  <w:pPr>
                    <w:pStyle w:val="normal0"/>
                    <w:spacing w:line="360" w:lineRule="auto"/>
                    <w:rPr>
                      <w:rFonts w:ascii="Arial" w:eastAsia="Arial" w:hAnsi="Arial" w:cs="Arial"/>
                    </w:rPr>
                  </w:pPr>
                </w:p>
                <w:p w:rsidR="00BA4DA6" w:rsidRDefault="001F49BE" w:rsidP="001F49BE">
                  <w:pPr>
                    <w:pStyle w:val="normal0"/>
                    <w:numPr>
                      <w:ilvl w:val="0"/>
                      <w:numId w:val="8"/>
                    </w:numPr>
                    <w:spacing w:line="360" w:lineRule="auto"/>
                    <w:jc w:val="both"/>
                    <w:rPr>
                      <w:rFonts w:ascii="Arial" w:eastAsia="Arial" w:hAnsi="Arial" w:cs="Arial"/>
                    </w:rPr>
                  </w:pPr>
                  <w:r w:rsidRPr="001F49BE">
                    <w:rPr>
                      <w:rFonts w:ascii="Arial" w:eastAsia="Arial" w:hAnsi="Arial" w:cs="Arial"/>
                    </w:rPr>
                    <w:t>The author, Teodoro Agoncillo, has no direct involvement of the said event the tejeros convention.  The information that was presented in his book were derived directly from the narration of the active participants of the Tejeros convention.</w:t>
                  </w:r>
                  <w:r w:rsidR="00FE1309">
                    <w:rPr>
                      <w:rFonts w:ascii="Arial" w:eastAsia="Arial" w:hAnsi="Arial" w:cs="Arial"/>
                    </w:rPr>
                    <w:t xml:space="preserve"> That’s why Teodoro Agoncillo is just a secondary source.</w:t>
                  </w:r>
                </w:p>
              </w:tc>
              <w:tc>
                <w:tcPr>
                  <w:tcW w:w="3600" w:type="dxa"/>
                  <w:tcBorders>
                    <w:top w:val="single" w:sz="12" w:space="0" w:color="000000"/>
                    <w:left w:val="single" w:sz="12" w:space="0" w:color="000000"/>
                    <w:right w:val="single" w:sz="12" w:space="0" w:color="000000"/>
                  </w:tcBorders>
                </w:tcPr>
                <w:p w:rsidR="00BA4DA6" w:rsidRDefault="00BA4DA6">
                  <w:pPr>
                    <w:pStyle w:val="normal0"/>
                    <w:rPr>
                      <w:rFonts w:ascii="Arial" w:eastAsia="Arial" w:hAnsi="Arial" w:cs="Arial"/>
                    </w:rPr>
                  </w:pPr>
                </w:p>
                <w:p w:rsidR="001F49BE" w:rsidRDefault="001F49BE" w:rsidP="001F49BE">
                  <w:pPr>
                    <w:pStyle w:val="normal0"/>
                    <w:numPr>
                      <w:ilvl w:val="0"/>
                      <w:numId w:val="8"/>
                    </w:numPr>
                    <w:spacing w:line="360" w:lineRule="auto"/>
                    <w:jc w:val="both"/>
                    <w:rPr>
                      <w:rFonts w:ascii="Arial" w:eastAsia="Arial" w:hAnsi="Arial" w:cs="Arial"/>
                    </w:rPr>
                  </w:pPr>
                  <w:r w:rsidRPr="001F49BE">
                    <w:rPr>
                      <w:rFonts w:ascii="Arial" w:eastAsia="Arial" w:hAnsi="Arial" w:cs="Arial"/>
                    </w:rPr>
                    <w:t xml:space="preserve">The tejeros convention was held at estate house of tejeros, San Francisco de Malabon. the assembly was made to formulate a concrete plan on how they can strengthen the defense of both faction after a consecutive defeat from the spaniards and to settle the tension between the two faction, the magdalo and magdiwang through of election nine of officers the president, vice president, Captain Genera,Diretor of Interior, Director of State, Director of Finance,Director of </w:t>
                  </w:r>
                  <w:r w:rsidRPr="001F49BE">
                    <w:rPr>
                      <w:rFonts w:ascii="Arial" w:eastAsia="Arial" w:hAnsi="Arial" w:cs="Arial"/>
                    </w:rPr>
                    <w:lastRenderedPageBreak/>
                    <w:t xml:space="preserve">Fomento and Director of Justice. Before proceeding with the election, Bonifacio, probably assailed by doubts and aware of his limitations, called the attention of all the electors representing the different regions of the Philippines to the principle that whoever would be elected should be recognized and respected regardless of his social condition and education. Despite of that principle daniel tirona still question the ability of bonifacio to become Director of interior for not having lawyer’s diploma because of this bonifacio felt insulted so he whipped his pistol to fire tirona and attempt to shot. The people begin to leave the hall and bonifacio </w:t>
                  </w:r>
                  <w:r w:rsidRPr="001F49BE">
                    <w:rPr>
                      <w:rFonts w:ascii="Arial" w:eastAsia="Arial" w:hAnsi="Arial" w:cs="Arial"/>
                    </w:rPr>
                    <w:lastRenderedPageBreak/>
                    <w:t>declared that whatever the assembly resolved and approved is void.</w:t>
                  </w:r>
                </w:p>
              </w:tc>
              <w:tc>
                <w:tcPr>
                  <w:tcW w:w="3510" w:type="dxa"/>
                  <w:tcBorders>
                    <w:top w:val="single" w:sz="12" w:space="0" w:color="000000"/>
                    <w:left w:val="single" w:sz="12" w:space="0" w:color="000000"/>
                    <w:bottom w:val="single" w:sz="4" w:space="0" w:color="000000"/>
                    <w:right w:val="single" w:sz="12" w:space="0" w:color="000000"/>
                  </w:tcBorders>
                </w:tcPr>
                <w:p w:rsidR="00BA4DA6" w:rsidRDefault="00BA4DA6">
                  <w:pPr>
                    <w:pStyle w:val="normal0"/>
                    <w:rPr>
                      <w:rFonts w:ascii="Arial" w:eastAsia="Arial" w:hAnsi="Arial" w:cs="Arial"/>
                    </w:rPr>
                  </w:pPr>
                </w:p>
              </w:tc>
            </w:tr>
          </w:tbl>
          <w:p w:rsidR="00BA4DA6" w:rsidRDefault="00BA4DA6">
            <w:pPr>
              <w:pStyle w:val="normal0"/>
              <w:rPr>
                <w:sz w:val="20"/>
                <w:szCs w:val="20"/>
              </w:rPr>
            </w:pPr>
          </w:p>
          <w:p w:rsidR="00BA4DA6" w:rsidRDefault="00BA4DA6">
            <w:pPr>
              <w:pStyle w:val="normal0"/>
              <w:rPr>
                <w:sz w:val="20"/>
                <w:szCs w:val="20"/>
              </w:rPr>
            </w:pPr>
          </w:p>
          <w:p w:rsidR="00BA4DA6" w:rsidRDefault="00F149BB">
            <w:pPr>
              <w:pStyle w:val="normal0"/>
              <w:rPr>
                <w:rFonts w:ascii="Arial" w:eastAsia="Arial" w:hAnsi="Arial" w:cs="Arial"/>
                <w:b/>
              </w:rPr>
            </w:pPr>
            <w:r>
              <w:rPr>
                <w:rFonts w:ascii="Arial" w:eastAsia="Arial" w:hAnsi="Arial" w:cs="Arial"/>
                <w:b/>
              </w:rPr>
              <w:t>B.  TEST OF CREDIBILITY</w:t>
            </w:r>
          </w:p>
          <w:p w:rsidR="00BA4DA6" w:rsidRDefault="00BA4DA6">
            <w:pPr>
              <w:pStyle w:val="normal0"/>
              <w:rPr>
                <w:sz w:val="16"/>
                <w:szCs w:val="16"/>
              </w:rPr>
            </w:pPr>
          </w:p>
          <w:tbl>
            <w:tblPr>
              <w:tblStyle w:val="a1"/>
              <w:tblW w:w="16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088"/>
              <w:gridCol w:w="3567"/>
              <w:gridCol w:w="3600"/>
              <w:gridCol w:w="3600"/>
              <w:gridCol w:w="3510"/>
            </w:tblGrid>
            <w:tr w:rsidR="00BA4DA6">
              <w:trPr>
                <w:trHeight w:val="560"/>
              </w:trPr>
              <w:tc>
                <w:tcPr>
                  <w:tcW w:w="2088" w:type="dxa"/>
                  <w:tcBorders>
                    <w:top w:val="single" w:sz="12" w:space="0" w:color="000000"/>
                    <w:left w:val="single" w:sz="12" w:space="0" w:color="000000"/>
                    <w:right w:val="single" w:sz="12" w:space="0" w:color="000000"/>
                  </w:tcBorders>
                  <w:shd w:val="clear" w:color="auto" w:fill="000000"/>
                  <w:vAlign w:val="center"/>
                </w:tcPr>
                <w:p w:rsidR="00BA4DA6" w:rsidRDefault="00F149BB">
                  <w:pPr>
                    <w:pStyle w:val="normal0"/>
                    <w:jc w:val="center"/>
                    <w:rPr>
                      <w:b/>
                      <w:color w:val="FFFFFF"/>
                    </w:rPr>
                  </w:pPr>
                  <w:r>
                    <w:rPr>
                      <w:b/>
                      <w:color w:val="FFFFFF"/>
                    </w:rPr>
                    <w:t>SOURCE OF HISTORY</w:t>
                  </w:r>
                </w:p>
              </w:tc>
              <w:tc>
                <w:tcPr>
                  <w:tcW w:w="3567" w:type="dxa"/>
                  <w:shd w:val="clear" w:color="auto" w:fill="000000"/>
                  <w:vAlign w:val="center"/>
                </w:tcPr>
                <w:p w:rsidR="00BA4DA6" w:rsidRDefault="00F149BB">
                  <w:pPr>
                    <w:pStyle w:val="normal0"/>
                    <w:jc w:val="center"/>
                    <w:rPr>
                      <w:b/>
                    </w:rPr>
                  </w:pPr>
                  <w:r>
                    <w:rPr>
                      <w:b/>
                      <w:color w:val="FFFFFF"/>
                    </w:rPr>
                    <w:t>Objectives of the Event</w:t>
                  </w:r>
                </w:p>
              </w:tc>
              <w:tc>
                <w:tcPr>
                  <w:tcW w:w="3600" w:type="dxa"/>
                  <w:shd w:val="clear" w:color="auto" w:fill="000000"/>
                  <w:vAlign w:val="center"/>
                </w:tcPr>
                <w:p w:rsidR="00BA4DA6" w:rsidRDefault="00F149BB">
                  <w:pPr>
                    <w:pStyle w:val="normal0"/>
                    <w:jc w:val="center"/>
                    <w:rPr>
                      <w:b/>
                    </w:rPr>
                  </w:pPr>
                  <w:r>
                    <w:rPr>
                      <w:b/>
                      <w:color w:val="FFFFFF"/>
                    </w:rPr>
                    <w:t>Persons Involved in the Event</w:t>
                  </w:r>
                </w:p>
              </w:tc>
              <w:tc>
                <w:tcPr>
                  <w:tcW w:w="3600" w:type="dxa"/>
                  <w:shd w:val="clear" w:color="auto" w:fill="000000"/>
                  <w:vAlign w:val="center"/>
                </w:tcPr>
                <w:p w:rsidR="00BA4DA6" w:rsidRDefault="00F149BB">
                  <w:pPr>
                    <w:pStyle w:val="normal0"/>
                    <w:jc w:val="center"/>
                    <w:rPr>
                      <w:b/>
                    </w:rPr>
                  </w:pPr>
                  <w:r>
                    <w:rPr>
                      <w:b/>
                      <w:color w:val="FFFFFF"/>
                    </w:rPr>
                    <w:t>Biases of the Author</w:t>
                  </w:r>
                </w:p>
              </w:tc>
              <w:tc>
                <w:tcPr>
                  <w:tcW w:w="3510" w:type="dxa"/>
                  <w:shd w:val="clear" w:color="auto" w:fill="000000"/>
                  <w:vAlign w:val="center"/>
                </w:tcPr>
                <w:p w:rsidR="00BA4DA6" w:rsidRDefault="002A0BD1">
                  <w:pPr>
                    <w:pStyle w:val="normal0"/>
                    <w:jc w:val="center"/>
                    <w:rPr>
                      <w:b/>
                    </w:rPr>
                  </w:pPr>
                  <w:r>
                    <w:rPr>
                      <w:b/>
                    </w:rPr>
                    <w:t>Arguments of the Source</w:t>
                  </w:r>
                </w:p>
              </w:tc>
            </w:tr>
            <w:tr w:rsidR="00BA4DA6">
              <w:trPr>
                <w:trHeight w:val="253"/>
              </w:trPr>
              <w:tc>
                <w:tcPr>
                  <w:tcW w:w="2088" w:type="dxa"/>
                  <w:vMerge w:val="restart"/>
                  <w:tcBorders>
                    <w:top w:val="single" w:sz="12" w:space="0" w:color="000000"/>
                    <w:left w:val="single" w:sz="12" w:space="0" w:color="000000"/>
                    <w:right w:val="single" w:sz="12" w:space="0" w:color="000000"/>
                  </w:tcBorders>
                </w:tcPr>
                <w:p w:rsidR="00BA4DA6" w:rsidRDefault="00BA4DA6">
                  <w:pPr>
                    <w:pStyle w:val="normal0"/>
                    <w:rPr>
                      <w:rFonts w:ascii="Arial" w:eastAsia="Arial" w:hAnsi="Arial" w:cs="Arial"/>
                    </w:rPr>
                  </w:pPr>
                </w:p>
                <w:p w:rsidR="00BA4DA6" w:rsidRDefault="00F149BB">
                  <w:pPr>
                    <w:pStyle w:val="normal0"/>
                    <w:rPr>
                      <w:rFonts w:ascii="Arial" w:eastAsia="Arial" w:hAnsi="Arial" w:cs="Arial"/>
                      <w:b/>
                    </w:rPr>
                  </w:pPr>
                  <w:r>
                    <w:rPr>
                      <w:rFonts w:ascii="Arial" w:eastAsia="Arial" w:hAnsi="Arial" w:cs="Arial"/>
                      <w:b/>
                    </w:rPr>
                    <w:t>Katipunan and the Revolution: Memoirs of a General</w:t>
                  </w: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p w:rsidR="00BA4DA6" w:rsidRDefault="00BA4DA6">
                  <w:pPr>
                    <w:pStyle w:val="normal0"/>
                    <w:jc w:val="center"/>
                    <w:rPr>
                      <w:rFonts w:ascii="Arial" w:eastAsia="Arial" w:hAnsi="Arial" w:cs="Arial"/>
                      <w:b/>
                    </w:rPr>
                  </w:pPr>
                </w:p>
              </w:tc>
              <w:tc>
                <w:tcPr>
                  <w:tcW w:w="3567" w:type="dxa"/>
                  <w:vMerge w:val="restart"/>
                  <w:tcBorders>
                    <w:top w:val="single" w:sz="12" w:space="0" w:color="000000"/>
                    <w:left w:val="single" w:sz="12" w:space="0" w:color="000000"/>
                    <w:right w:val="single" w:sz="12" w:space="0" w:color="000000"/>
                  </w:tcBorders>
                </w:tcPr>
                <w:p w:rsidR="00474663" w:rsidRPr="00474663" w:rsidRDefault="00474663" w:rsidP="00474663">
                  <w:pPr>
                    <w:pStyle w:val="normal0"/>
                    <w:spacing w:line="360" w:lineRule="auto"/>
                    <w:ind w:left="720"/>
                  </w:pPr>
                </w:p>
                <w:p w:rsidR="00BA4DA6" w:rsidRDefault="00F149BB" w:rsidP="00474663">
                  <w:pPr>
                    <w:pStyle w:val="normal0"/>
                    <w:numPr>
                      <w:ilvl w:val="0"/>
                      <w:numId w:val="1"/>
                    </w:numPr>
                    <w:spacing w:line="360" w:lineRule="auto"/>
                    <w:jc w:val="both"/>
                  </w:pPr>
                  <w:r>
                    <w:rPr>
                      <w:rFonts w:ascii="Arial" w:eastAsia="Arial" w:hAnsi="Arial" w:cs="Arial"/>
                    </w:rPr>
                    <w:t xml:space="preserve">The main objective of the Tejeros convention was to address how to fortify the defenses in the areas that are still under Magdiwang control. Though this was the main objective the issue regarding what kind of government should be established was greatly discussed and became the main topic because Mr. Severino de las Alas said that identifying the kind of government and how to </w:t>
                  </w:r>
                  <w:r>
                    <w:rPr>
                      <w:rFonts w:ascii="Arial" w:eastAsia="Arial" w:hAnsi="Arial" w:cs="Arial"/>
                    </w:rPr>
                    <w:lastRenderedPageBreak/>
                    <w:t xml:space="preserve">establish it will eventually lead to the resolution on how to bolster the defenses. </w:t>
                  </w:r>
                </w:p>
              </w:tc>
              <w:tc>
                <w:tcPr>
                  <w:tcW w:w="3600" w:type="dxa"/>
                  <w:vMerge w:val="restart"/>
                  <w:tcBorders>
                    <w:top w:val="single" w:sz="12" w:space="0" w:color="000000"/>
                    <w:left w:val="single" w:sz="12" w:space="0" w:color="000000"/>
                    <w:right w:val="single" w:sz="12" w:space="0" w:color="000000"/>
                  </w:tcBorders>
                </w:tcPr>
                <w:p w:rsidR="00474663" w:rsidRPr="00474663" w:rsidRDefault="00474663" w:rsidP="00474663">
                  <w:pPr>
                    <w:pStyle w:val="normal0"/>
                    <w:spacing w:line="360" w:lineRule="auto"/>
                    <w:ind w:left="720"/>
                  </w:pPr>
                </w:p>
                <w:p w:rsidR="00F02F07" w:rsidRPr="00F02F07" w:rsidRDefault="00F149BB" w:rsidP="00474663">
                  <w:pPr>
                    <w:pStyle w:val="normal0"/>
                    <w:numPr>
                      <w:ilvl w:val="0"/>
                      <w:numId w:val="1"/>
                    </w:numPr>
                    <w:spacing w:line="360" w:lineRule="auto"/>
                    <w:jc w:val="both"/>
                  </w:pPr>
                  <w:r w:rsidRPr="00F02F07">
                    <w:rPr>
                      <w:rFonts w:ascii="Arial" w:eastAsia="Arial" w:hAnsi="Arial" w:cs="Arial"/>
                      <w:b/>
                    </w:rPr>
                    <w:t>Secretary Jacinto Lumbreras of the Magdiwang Council</w:t>
                  </w:r>
                </w:p>
                <w:p w:rsidR="00BA4DA6" w:rsidRDefault="00F02F07" w:rsidP="00F02F07">
                  <w:pPr>
                    <w:pStyle w:val="normal0"/>
                    <w:spacing w:line="360" w:lineRule="auto"/>
                    <w:ind w:left="720"/>
                    <w:jc w:val="both"/>
                    <w:rPr>
                      <w:rFonts w:ascii="Arial" w:eastAsia="Arial" w:hAnsi="Arial" w:cs="Arial"/>
                    </w:rPr>
                  </w:pPr>
                  <w:r>
                    <w:rPr>
                      <w:rFonts w:ascii="Arial" w:eastAsia="Arial" w:hAnsi="Arial" w:cs="Arial"/>
                      <w:b/>
                    </w:rPr>
                    <w:t xml:space="preserve">  </w:t>
                  </w:r>
                  <w:r w:rsidR="00F149BB">
                    <w:rPr>
                      <w:rFonts w:ascii="Arial" w:eastAsia="Arial" w:hAnsi="Arial" w:cs="Arial"/>
                    </w:rPr>
                    <w:t>-presided the assembly and signed the meeting invitations</w:t>
                  </w:r>
                </w:p>
                <w:p w:rsidR="00F02F07" w:rsidRDefault="00F02F07" w:rsidP="001F49BE">
                  <w:pPr>
                    <w:pStyle w:val="normal0"/>
                    <w:spacing w:line="360" w:lineRule="auto"/>
                    <w:jc w:val="both"/>
                  </w:pPr>
                </w:p>
                <w:p w:rsidR="00F02F07" w:rsidRPr="00F02F07" w:rsidRDefault="00F149BB" w:rsidP="00474663">
                  <w:pPr>
                    <w:pStyle w:val="normal0"/>
                    <w:numPr>
                      <w:ilvl w:val="0"/>
                      <w:numId w:val="1"/>
                    </w:numPr>
                    <w:spacing w:line="360" w:lineRule="auto"/>
                    <w:jc w:val="both"/>
                  </w:pPr>
                  <w:r w:rsidRPr="00F02F07">
                    <w:rPr>
                      <w:rFonts w:ascii="Arial" w:eastAsia="Arial" w:hAnsi="Arial" w:cs="Arial"/>
                      <w:b/>
                    </w:rPr>
                    <w:t>Secretary of War Ariston Villanueva</w:t>
                  </w:r>
                  <w:r>
                    <w:rPr>
                      <w:rFonts w:ascii="Arial" w:eastAsia="Arial" w:hAnsi="Arial" w:cs="Arial"/>
                    </w:rPr>
                    <w:t xml:space="preserve"> </w:t>
                  </w:r>
                </w:p>
                <w:p w:rsidR="00BA4DA6" w:rsidRDefault="00F149BB" w:rsidP="00F02F07">
                  <w:pPr>
                    <w:pStyle w:val="normal0"/>
                    <w:spacing w:line="360" w:lineRule="auto"/>
                    <w:ind w:left="720"/>
                    <w:jc w:val="both"/>
                    <w:rPr>
                      <w:rFonts w:ascii="Arial" w:eastAsia="Arial" w:hAnsi="Arial" w:cs="Arial"/>
                    </w:rPr>
                  </w:pPr>
                  <w:r>
                    <w:rPr>
                      <w:rFonts w:ascii="Arial" w:eastAsia="Arial" w:hAnsi="Arial" w:cs="Arial"/>
                    </w:rPr>
                    <w:t>- received information about Tizona's plan</w:t>
                  </w:r>
                </w:p>
                <w:p w:rsidR="00F02F07" w:rsidRDefault="00F02F07" w:rsidP="00F02F07">
                  <w:pPr>
                    <w:pStyle w:val="normal0"/>
                    <w:spacing w:line="360" w:lineRule="auto"/>
                    <w:ind w:left="720"/>
                    <w:jc w:val="both"/>
                  </w:pPr>
                </w:p>
                <w:p w:rsidR="00F02F07" w:rsidRPr="00F02F07" w:rsidRDefault="00F149BB" w:rsidP="00474663">
                  <w:pPr>
                    <w:pStyle w:val="normal0"/>
                    <w:numPr>
                      <w:ilvl w:val="0"/>
                      <w:numId w:val="1"/>
                    </w:numPr>
                    <w:spacing w:line="360" w:lineRule="auto"/>
                  </w:pPr>
                  <w:r w:rsidRPr="00F02F07">
                    <w:rPr>
                      <w:rFonts w:ascii="Arial" w:eastAsia="Arial" w:hAnsi="Arial" w:cs="Arial"/>
                      <w:b/>
                    </w:rPr>
                    <w:t>Mr. Daniel Tizona</w:t>
                  </w:r>
                </w:p>
                <w:p w:rsidR="00BA4DA6" w:rsidRDefault="00F02F07" w:rsidP="00F02F07">
                  <w:pPr>
                    <w:pStyle w:val="normal0"/>
                    <w:spacing w:line="360" w:lineRule="auto"/>
                    <w:ind w:left="720"/>
                    <w:rPr>
                      <w:rFonts w:ascii="Arial" w:eastAsia="Arial" w:hAnsi="Arial" w:cs="Arial"/>
                    </w:rPr>
                  </w:pPr>
                  <w:r>
                    <w:rPr>
                      <w:rFonts w:ascii="Arial" w:eastAsia="Arial" w:hAnsi="Arial" w:cs="Arial"/>
                    </w:rPr>
                    <w:t xml:space="preserve">   </w:t>
                  </w:r>
                  <w:r w:rsidR="00F149BB">
                    <w:rPr>
                      <w:rFonts w:ascii="Arial" w:eastAsia="Arial" w:hAnsi="Arial" w:cs="Arial"/>
                    </w:rPr>
                    <w:t xml:space="preserve">-wants undermine the </w:t>
                  </w:r>
                  <w:r>
                    <w:rPr>
                      <w:rFonts w:ascii="Arial" w:eastAsia="Arial" w:hAnsi="Arial" w:cs="Arial"/>
                    </w:rPr>
                    <w:t xml:space="preserve">  </w:t>
                  </w:r>
                  <w:r w:rsidR="00F149BB">
                    <w:rPr>
                      <w:rFonts w:ascii="Arial" w:eastAsia="Arial" w:hAnsi="Arial" w:cs="Arial"/>
                    </w:rPr>
                    <w:t xml:space="preserve">proceeding </w:t>
                  </w:r>
                </w:p>
                <w:p w:rsidR="0080367B" w:rsidRDefault="0080367B" w:rsidP="00F02F07">
                  <w:pPr>
                    <w:pStyle w:val="normal0"/>
                    <w:spacing w:line="360" w:lineRule="auto"/>
                    <w:ind w:left="720"/>
                    <w:rPr>
                      <w:rFonts w:ascii="Arial" w:eastAsia="Arial" w:hAnsi="Arial" w:cs="Arial"/>
                    </w:rPr>
                  </w:pPr>
                </w:p>
                <w:p w:rsidR="0080367B" w:rsidRPr="00A97579" w:rsidRDefault="0080367B" w:rsidP="0080367B">
                  <w:pPr>
                    <w:pStyle w:val="ListParagraph"/>
                    <w:numPr>
                      <w:ilvl w:val="0"/>
                      <w:numId w:val="5"/>
                    </w:numPr>
                    <w:tabs>
                      <w:tab w:val="left" w:pos="1159"/>
                    </w:tabs>
                    <w:spacing w:line="360" w:lineRule="auto"/>
                    <w:jc w:val="both"/>
                    <w:rPr>
                      <w:rFonts w:ascii="Arial" w:hAnsi="Arial" w:cs="Arial"/>
                      <w:b/>
                    </w:rPr>
                  </w:pPr>
                  <w:r w:rsidRPr="00A97579">
                    <w:rPr>
                      <w:rFonts w:ascii="Arial" w:hAnsi="Arial" w:cs="Arial"/>
                      <w:b/>
                    </w:rPr>
                    <w:t>Other Persons Invloved;</w:t>
                  </w:r>
                </w:p>
                <w:p w:rsidR="0080367B" w:rsidRDefault="0080367B" w:rsidP="0080367B">
                  <w:pPr>
                    <w:pStyle w:val="normal0"/>
                    <w:numPr>
                      <w:ilvl w:val="0"/>
                      <w:numId w:val="7"/>
                    </w:numPr>
                    <w:spacing w:line="360" w:lineRule="auto"/>
                    <w:jc w:val="both"/>
                  </w:pPr>
                  <w:r>
                    <w:rPr>
                      <w:rFonts w:ascii="Arial" w:eastAsia="Arial" w:hAnsi="Arial" w:cs="Arial"/>
                    </w:rPr>
                    <w:t xml:space="preserve"> Andres Bonifacio, Messrs Mariano M. Alvarez, Pascual Alvarez, MAriano C. Trias, Diego Mojica, Emiliano R. de Dios, Santiago V. Alvarez, Artemis Ricarta, Santos Nocon, Luciano San Miguel, Pablo Mojica, Severino de las Alas and Santiago Rillo</w:t>
                  </w:r>
                  <w:r>
                    <w:t xml:space="preserve">, </w:t>
                  </w:r>
                  <w:r w:rsidRPr="00F02F07">
                    <w:rPr>
                      <w:rFonts w:ascii="Arial" w:eastAsia="Arial" w:hAnsi="Arial" w:cs="Arial"/>
                    </w:rPr>
                    <w:t>Baldomera Aguinaldo, Daniel Tirona, and Cayetano Topaci</w:t>
                  </w:r>
                  <w:r>
                    <w:rPr>
                      <w:rFonts w:ascii="Arial" w:eastAsia="Arial" w:hAnsi="Arial" w:cs="Arial"/>
                    </w:rPr>
                    <w:t>o</w:t>
                  </w:r>
                </w:p>
                <w:p w:rsidR="00BA4DA6" w:rsidRDefault="00BA4DA6" w:rsidP="00F02F07">
                  <w:pPr>
                    <w:pStyle w:val="normal0"/>
                    <w:spacing w:line="360" w:lineRule="auto"/>
                    <w:ind w:left="720"/>
                    <w:jc w:val="both"/>
                  </w:pPr>
                </w:p>
              </w:tc>
              <w:tc>
                <w:tcPr>
                  <w:tcW w:w="3600" w:type="dxa"/>
                  <w:vMerge w:val="restart"/>
                  <w:tcBorders>
                    <w:top w:val="single" w:sz="12" w:space="0" w:color="000000"/>
                    <w:left w:val="single" w:sz="12" w:space="0" w:color="000000"/>
                    <w:right w:val="single" w:sz="12" w:space="0" w:color="000000"/>
                  </w:tcBorders>
                </w:tcPr>
                <w:p w:rsidR="00BA4DA6" w:rsidRDefault="00BA4DA6">
                  <w:pPr>
                    <w:pStyle w:val="normal0"/>
                  </w:pPr>
                </w:p>
                <w:p w:rsidR="00C301EA" w:rsidRPr="00C301EA" w:rsidRDefault="00BC7E24" w:rsidP="00BC7E24">
                  <w:pPr>
                    <w:pStyle w:val="normal0"/>
                    <w:numPr>
                      <w:ilvl w:val="0"/>
                      <w:numId w:val="1"/>
                    </w:numPr>
                    <w:spacing w:line="360" w:lineRule="auto"/>
                    <w:jc w:val="both"/>
                  </w:pPr>
                  <w:r w:rsidRPr="00BC7E24">
                    <w:rPr>
                      <w:rFonts w:ascii="Arial" w:eastAsia="Arial" w:hAnsi="Arial" w:cs="Arial"/>
                    </w:rPr>
                    <w:t xml:space="preserve">Alvarez's bias is more on the election that happened in Tejeros convention. Alvarez is just pinpointing on what certain events and how does the delegation of the people had been done. The events that is given by Alvarez is more on how the election goes and what happened during the election day in Tejeros. Also in the given event, Alvarez doesn't mention any event that happened after the election was </w:t>
                  </w:r>
                  <w:r w:rsidRPr="00BC7E24">
                    <w:rPr>
                      <w:rFonts w:ascii="Arial" w:eastAsia="Arial" w:hAnsi="Arial" w:cs="Arial"/>
                    </w:rPr>
                    <w:lastRenderedPageBreak/>
                    <w:t>done.</w:t>
                  </w:r>
                  <w:r>
                    <w:rPr>
                      <w:rFonts w:ascii="Arial" w:eastAsia="Arial" w:hAnsi="Arial" w:cs="Arial"/>
                    </w:rPr>
                    <w:t xml:space="preserve"> </w:t>
                  </w:r>
                </w:p>
                <w:p w:rsidR="00C301EA" w:rsidRPr="00C301EA" w:rsidRDefault="00C301EA" w:rsidP="00C301EA">
                  <w:pPr>
                    <w:pStyle w:val="normal0"/>
                    <w:spacing w:line="360" w:lineRule="auto"/>
                    <w:ind w:left="720"/>
                    <w:jc w:val="both"/>
                  </w:pPr>
                </w:p>
                <w:p w:rsidR="00BA4DA6" w:rsidRDefault="00BC7E24" w:rsidP="00BC7E24">
                  <w:pPr>
                    <w:pStyle w:val="normal0"/>
                    <w:numPr>
                      <w:ilvl w:val="0"/>
                      <w:numId w:val="1"/>
                    </w:numPr>
                    <w:spacing w:line="360" w:lineRule="auto"/>
                    <w:jc w:val="both"/>
                  </w:pPr>
                  <w:r>
                    <w:rPr>
                      <w:rFonts w:ascii="Arial" w:eastAsia="Arial" w:hAnsi="Arial" w:cs="Arial"/>
                    </w:rPr>
                    <w:t xml:space="preserve"> As I’ve read, </w:t>
                  </w:r>
                  <w:r w:rsidR="00F149BB">
                    <w:rPr>
                      <w:rFonts w:ascii="Arial" w:eastAsia="Arial" w:hAnsi="Arial" w:cs="Arial"/>
                    </w:rPr>
                    <w:t>the information and scenes in the book are from the Katipunero's own words and experience also it is evident that he was an active participant of the event and not just a mere eyewitness. All sides and situations were mentioned in the book, may it be pleasant and unpleasant like when he confirmed the cheating of Magdalo representatives during the election at Tejeros Convention.</w:t>
                  </w:r>
                  <w:r>
                    <w:rPr>
                      <w:rFonts w:ascii="Arial" w:eastAsia="Arial" w:hAnsi="Arial" w:cs="Arial"/>
                    </w:rPr>
                    <w:t xml:space="preserve">  </w:t>
                  </w:r>
                </w:p>
              </w:tc>
              <w:tc>
                <w:tcPr>
                  <w:tcW w:w="3510" w:type="dxa"/>
                  <w:vMerge w:val="restart"/>
                  <w:tcBorders>
                    <w:top w:val="single" w:sz="12" w:space="0" w:color="000000"/>
                    <w:left w:val="single" w:sz="12" w:space="0" w:color="000000"/>
                    <w:right w:val="single" w:sz="12" w:space="0" w:color="000000"/>
                  </w:tcBorders>
                </w:tcPr>
                <w:p w:rsidR="007A2B6B" w:rsidRDefault="007A2B6B" w:rsidP="007A2B6B">
                  <w:pPr>
                    <w:pStyle w:val="normal0"/>
                    <w:spacing w:line="360" w:lineRule="auto"/>
                    <w:jc w:val="both"/>
                    <w:rPr>
                      <w:rFonts w:ascii="Arial" w:eastAsia="Arial" w:hAnsi="Arial" w:cs="Arial"/>
                    </w:rPr>
                  </w:pPr>
                </w:p>
                <w:p w:rsidR="007A2B6B" w:rsidRDefault="007A2B6B" w:rsidP="00FA4170">
                  <w:pPr>
                    <w:pStyle w:val="normal0"/>
                    <w:numPr>
                      <w:ilvl w:val="0"/>
                      <w:numId w:val="4"/>
                    </w:numPr>
                    <w:spacing w:line="360" w:lineRule="auto"/>
                    <w:jc w:val="both"/>
                    <w:rPr>
                      <w:rFonts w:ascii="Arial" w:eastAsia="Arial" w:hAnsi="Arial" w:cs="Arial"/>
                    </w:rPr>
                  </w:pPr>
                  <w:r>
                    <w:rPr>
                      <w:rFonts w:ascii="Arial" w:eastAsia="Arial" w:hAnsi="Arial" w:cs="Arial"/>
                    </w:rPr>
                    <w:t xml:space="preserve">This are </w:t>
                  </w:r>
                  <w:r w:rsidR="002035BC">
                    <w:rPr>
                      <w:rFonts w:ascii="Arial" w:eastAsia="Arial" w:hAnsi="Arial" w:cs="Arial"/>
                    </w:rPr>
                    <w:t xml:space="preserve">some of </w:t>
                  </w:r>
                  <w:r>
                    <w:rPr>
                      <w:rFonts w:ascii="Arial" w:eastAsia="Arial" w:hAnsi="Arial" w:cs="Arial"/>
                    </w:rPr>
                    <w:t>the arguments of the source based on what I’ve read</w:t>
                  </w:r>
                  <w:r w:rsidR="002035BC">
                    <w:rPr>
                      <w:rFonts w:ascii="Arial" w:eastAsia="Arial" w:hAnsi="Arial" w:cs="Arial"/>
                    </w:rPr>
                    <w:t xml:space="preserve"> and understand</w:t>
                  </w:r>
                  <w:r>
                    <w:rPr>
                      <w:rFonts w:ascii="Arial" w:eastAsia="Arial" w:hAnsi="Arial" w:cs="Arial"/>
                    </w:rPr>
                    <w:t xml:space="preserve"> in th</w:t>
                  </w:r>
                  <w:r w:rsidR="002035BC">
                    <w:rPr>
                      <w:rFonts w:ascii="Arial" w:eastAsia="Arial" w:hAnsi="Arial" w:cs="Arial"/>
                    </w:rPr>
                    <w:t>is</w:t>
                  </w:r>
                  <w:r>
                    <w:rPr>
                      <w:rFonts w:ascii="Arial" w:eastAsia="Arial" w:hAnsi="Arial" w:cs="Arial"/>
                    </w:rPr>
                    <w:t xml:space="preserve"> book.</w:t>
                  </w:r>
                  <w:r w:rsidR="00FA4170" w:rsidRPr="00FA4170">
                    <w:rPr>
                      <w:rFonts w:ascii="Arial" w:eastAsia="Arial" w:hAnsi="Arial" w:cs="Arial"/>
                    </w:rPr>
                    <w:br/>
                  </w:r>
                  <w:r w:rsidR="00FA4170" w:rsidRPr="00FA4170">
                    <w:rPr>
                      <w:rFonts w:ascii="Arial" w:eastAsia="Arial" w:hAnsi="Arial" w:cs="Arial"/>
                    </w:rPr>
                    <w:br/>
                  </w:r>
                  <w:r w:rsidR="00FA4170" w:rsidRPr="007A2B6B">
                    <w:rPr>
                      <w:rFonts w:ascii="Arial" w:eastAsia="Arial" w:hAnsi="Arial" w:cs="Arial"/>
                      <w:b/>
                    </w:rPr>
                    <w:t>1.</w:t>
                  </w:r>
                  <w:r w:rsidR="00FA4170" w:rsidRPr="00FA4170">
                    <w:rPr>
                      <w:rFonts w:ascii="Arial" w:eastAsia="Arial" w:hAnsi="Arial" w:cs="Arial"/>
                    </w:rPr>
                    <w:t xml:space="preserve"> The unpreparedness of the Katipuneros when they engaged into war (bolos vs. rifles) that caused many deaths among our people.</w:t>
                  </w:r>
                </w:p>
                <w:p w:rsidR="007A2B6B" w:rsidRDefault="007A2B6B" w:rsidP="007A2B6B">
                  <w:pPr>
                    <w:pStyle w:val="ListParagraph"/>
                    <w:rPr>
                      <w:rFonts w:ascii="Arial" w:eastAsia="Arial" w:hAnsi="Arial" w:cs="Arial"/>
                    </w:rPr>
                  </w:pPr>
                </w:p>
                <w:p w:rsidR="007A2B6B" w:rsidRDefault="00FA4170" w:rsidP="007A2B6B">
                  <w:pPr>
                    <w:pStyle w:val="normal0"/>
                    <w:spacing w:line="360" w:lineRule="auto"/>
                    <w:ind w:left="720"/>
                    <w:jc w:val="both"/>
                    <w:rPr>
                      <w:rFonts w:ascii="Arial" w:eastAsia="Arial" w:hAnsi="Arial" w:cs="Arial"/>
                    </w:rPr>
                  </w:pPr>
                  <w:r w:rsidRPr="00FA4170">
                    <w:rPr>
                      <w:rFonts w:ascii="Arial" w:eastAsia="Arial" w:hAnsi="Arial" w:cs="Arial"/>
                    </w:rPr>
                    <w:br/>
                  </w:r>
                  <w:r w:rsidRPr="007A2B6B">
                    <w:rPr>
                      <w:rFonts w:ascii="Arial" w:eastAsia="Arial" w:hAnsi="Arial" w:cs="Arial"/>
                      <w:b/>
                    </w:rPr>
                    <w:t>2.</w:t>
                  </w:r>
                  <w:r w:rsidRPr="00FA4170">
                    <w:rPr>
                      <w:rFonts w:ascii="Arial" w:eastAsia="Arial" w:hAnsi="Arial" w:cs="Arial"/>
                    </w:rPr>
                    <w:t xml:space="preserve"> The lack of unity and loyalty (from some </w:t>
                  </w:r>
                  <w:r w:rsidRPr="00FA4170">
                    <w:rPr>
                      <w:rFonts w:ascii="Arial" w:eastAsia="Arial" w:hAnsi="Arial" w:cs="Arial"/>
                    </w:rPr>
                    <w:lastRenderedPageBreak/>
                    <w:t>members) among the Katipuneros, being divided into the Magdalo and Magdiwang factions.</w:t>
                  </w:r>
                </w:p>
                <w:p w:rsidR="007A2B6B" w:rsidRDefault="00FA4170" w:rsidP="007A2B6B">
                  <w:pPr>
                    <w:pStyle w:val="normal0"/>
                    <w:spacing w:line="360" w:lineRule="auto"/>
                    <w:ind w:left="720"/>
                    <w:jc w:val="both"/>
                    <w:rPr>
                      <w:rFonts w:ascii="Arial" w:eastAsia="Arial" w:hAnsi="Arial" w:cs="Arial"/>
                    </w:rPr>
                  </w:pPr>
                  <w:r w:rsidRPr="00FA4170">
                    <w:rPr>
                      <w:rFonts w:ascii="Arial" w:eastAsia="Arial" w:hAnsi="Arial" w:cs="Arial"/>
                    </w:rPr>
                    <w:br/>
                  </w:r>
                  <w:r w:rsidRPr="007A2B6B">
                    <w:rPr>
                      <w:rFonts w:ascii="Arial" w:eastAsia="Arial" w:hAnsi="Arial" w:cs="Arial"/>
                      <w:b/>
                    </w:rPr>
                    <w:t>3.</w:t>
                  </w:r>
                  <w:r w:rsidRPr="00FA4170">
                    <w:rPr>
                      <w:rFonts w:ascii="Arial" w:eastAsia="Arial" w:hAnsi="Arial" w:cs="Arial"/>
                    </w:rPr>
                    <w:t xml:space="preserve"> Cheating during the presidential election.</w:t>
                  </w:r>
                </w:p>
                <w:p w:rsidR="007A2B6B" w:rsidRDefault="00FA4170" w:rsidP="007A2B6B">
                  <w:pPr>
                    <w:pStyle w:val="normal0"/>
                    <w:spacing w:line="360" w:lineRule="auto"/>
                    <w:ind w:left="720"/>
                    <w:jc w:val="both"/>
                    <w:rPr>
                      <w:rFonts w:ascii="Arial" w:eastAsia="Arial" w:hAnsi="Arial" w:cs="Arial"/>
                    </w:rPr>
                  </w:pPr>
                  <w:r w:rsidRPr="00FA4170">
                    <w:rPr>
                      <w:rFonts w:ascii="Arial" w:eastAsia="Arial" w:hAnsi="Arial" w:cs="Arial"/>
                    </w:rPr>
                    <w:br/>
                  </w:r>
                  <w:r w:rsidRPr="007A2B6B">
                    <w:rPr>
                      <w:rFonts w:ascii="Arial" w:eastAsia="Arial" w:hAnsi="Arial" w:cs="Arial"/>
                      <w:b/>
                    </w:rPr>
                    <w:t>4.</w:t>
                  </w:r>
                  <w:r w:rsidRPr="00FA4170">
                    <w:rPr>
                      <w:rFonts w:ascii="Arial" w:eastAsia="Arial" w:hAnsi="Arial" w:cs="Arial"/>
                    </w:rPr>
                    <w:t xml:space="preserve"> A scene in the book where 1 of the members lets a Spanish friar escaped, a general was about to shoot the perpetrator but someone besides him urged him that he shouldn't pull the trigger so he didn't continue of shooting the man. I mean, the guy's a traitor so he deserves to die. It's in the law.</w:t>
                  </w:r>
                </w:p>
                <w:p w:rsidR="00FE1309" w:rsidRDefault="00FA4170" w:rsidP="00FE1309">
                  <w:pPr>
                    <w:pStyle w:val="normal0"/>
                    <w:spacing w:line="360" w:lineRule="auto"/>
                    <w:ind w:left="720"/>
                    <w:jc w:val="both"/>
                    <w:rPr>
                      <w:rFonts w:ascii="Arial" w:eastAsia="Arial" w:hAnsi="Arial" w:cs="Arial"/>
                    </w:rPr>
                  </w:pPr>
                  <w:r w:rsidRPr="00FA4170">
                    <w:rPr>
                      <w:rFonts w:ascii="Arial" w:eastAsia="Arial" w:hAnsi="Arial" w:cs="Arial"/>
                    </w:rPr>
                    <w:br/>
                  </w:r>
                  <w:r w:rsidRPr="007A2B6B">
                    <w:rPr>
                      <w:rFonts w:ascii="Arial" w:eastAsia="Arial" w:hAnsi="Arial" w:cs="Arial"/>
                      <w:b/>
                    </w:rPr>
                    <w:t>5.</w:t>
                  </w:r>
                  <w:r w:rsidRPr="00FA4170">
                    <w:rPr>
                      <w:rFonts w:ascii="Arial" w:eastAsia="Arial" w:hAnsi="Arial" w:cs="Arial"/>
                    </w:rPr>
                    <w:t xml:space="preserve"> The enemy (Spanish government) created spies among the Filipinos but the Katipuneros </w:t>
                  </w:r>
                  <w:r w:rsidRPr="00FA4170">
                    <w:rPr>
                      <w:rFonts w:ascii="Arial" w:eastAsia="Arial" w:hAnsi="Arial" w:cs="Arial"/>
                    </w:rPr>
                    <w:lastRenderedPageBreak/>
                    <w:t>lacked spies for intelligence report inside the Spanish government.</w:t>
                  </w:r>
                </w:p>
                <w:p w:rsidR="002035BC" w:rsidRPr="00F02F07" w:rsidRDefault="00FE1309" w:rsidP="00FE1309">
                  <w:pPr>
                    <w:pStyle w:val="normal0"/>
                    <w:spacing w:line="360" w:lineRule="auto"/>
                    <w:ind w:left="720"/>
                    <w:jc w:val="both"/>
                    <w:rPr>
                      <w:rFonts w:ascii="Arial" w:eastAsia="Arial" w:hAnsi="Arial" w:cs="Arial"/>
                    </w:rPr>
                  </w:pPr>
                  <w:r>
                    <w:rPr>
                      <w:rFonts w:ascii="Arial" w:eastAsia="Arial" w:hAnsi="Arial" w:cs="Arial"/>
                    </w:rPr>
                    <w:br/>
                  </w:r>
                  <w:r w:rsidR="00FA4170" w:rsidRPr="00FA4170">
                    <w:rPr>
                      <w:rFonts w:ascii="Arial" w:eastAsia="Arial" w:hAnsi="Arial" w:cs="Arial"/>
                    </w:rPr>
                    <w:br/>
                  </w:r>
                  <w:r w:rsidR="007A2B6B" w:rsidRPr="002035BC">
                    <w:rPr>
                      <w:rFonts w:ascii="Arial" w:eastAsia="Arial" w:hAnsi="Arial" w:cs="Arial"/>
                      <w:b/>
                    </w:rPr>
                    <w:t>-</w:t>
                  </w:r>
                  <w:r w:rsidR="007A2B6B">
                    <w:rPr>
                      <w:rFonts w:ascii="Arial" w:eastAsia="Arial" w:hAnsi="Arial" w:cs="Arial"/>
                    </w:rPr>
                    <w:t xml:space="preserve"> </w:t>
                  </w:r>
                  <w:r w:rsidR="00FA4170" w:rsidRPr="00FA4170">
                    <w:rPr>
                      <w:rFonts w:ascii="Arial" w:eastAsia="Arial" w:hAnsi="Arial" w:cs="Arial"/>
                    </w:rPr>
                    <w:t xml:space="preserve">The Philippine Revolution against Spain was a big blunder (clusterfuck). Most who should stay alive were killed and those who should be killed (Magdalo members) lived longer. They can't identify who among their comrades were spies. Our heroes were very courageous but what a bunch of morons when it comes to strategy, implementing their rules and eliminating their enemies. Believing in superstitious (or should I say "duperstitious") amulets and Latin Folk Catholic prayers they </w:t>
                  </w:r>
                  <w:r w:rsidR="00FA4170" w:rsidRPr="00FA4170">
                    <w:rPr>
                      <w:rFonts w:ascii="Arial" w:eastAsia="Arial" w:hAnsi="Arial" w:cs="Arial"/>
                    </w:rPr>
                    <w:lastRenderedPageBreak/>
                    <w:t>believe can be used against bullets is nothing but an utterly nonsense crap and can be considered as witchcraft. That is why the Philippines is suffering today.</w:t>
                  </w:r>
                </w:p>
              </w:tc>
            </w:tr>
            <w:tr w:rsidR="00BA4DA6">
              <w:trPr>
                <w:trHeight w:val="291"/>
              </w:trPr>
              <w:tc>
                <w:tcPr>
                  <w:tcW w:w="2088"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567"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60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60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c>
                <w:tcPr>
                  <w:tcW w:w="3510" w:type="dxa"/>
                  <w:vMerge/>
                  <w:tcBorders>
                    <w:top w:val="single" w:sz="12" w:space="0" w:color="000000"/>
                    <w:left w:val="single" w:sz="12" w:space="0" w:color="000000"/>
                    <w:right w:val="single" w:sz="12" w:space="0" w:color="000000"/>
                  </w:tcBorders>
                </w:tcPr>
                <w:p w:rsidR="00BA4DA6" w:rsidRDefault="00BA4DA6">
                  <w:pPr>
                    <w:pStyle w:val="normal0"/>
                    <w:widowControl w:val="0"/>
                    <w:pBdr>
                      <w:top w:val="nil"/>
                      <w:left w:val="nil"/>
                      <w:bottom w:val="nil"/>
                      <w:right w:val="nil"/>
                      <w:between w:val="nil"/>
                    </w:pBdr>
                    <w:spacing w:line="276" w:lineRule="auto"/>
                    <w:rPr>
                      <w:rFonts w:ascii="Arial" w:eastAsia="Arial" w:hAnsi="Arial" w:cs="Arial"/>
                      <w:vertAlign w:val="subscript"/>
                    </w:rPr>
                  </w:pPr>
                </w:p>
              </w:tc>
            </w:tr>
            <w:tr w:rsidR="00BA4DA6">
              <w:trPr>
                <w:trHeight w:val="680"/>
              </w:trPr>
              <w:tc>
                <w:tcPr>
                  <w:tcW w:w="2088" w:type="dxa"/>
                  <w:tcBorders>
                    <w:top w:val="single" w:sz="12" w:space="0" w:color="000000"/>
                    <w:left w:val="single" w:sz="12" w:space="0" w:color="000000"/>
                    <w:bottom w:val="single" w:sz="4" w:space="0" w:color="000000"/>
                    <w:right w:val="single" w:sz="12" w:space="0" w:color="000000"/>
                  </w:tcBorders>
                </w:tcPr>
                <w:p w:rsidR="00BA4DA6" w:rsidRDefault="00BA4DA6">
                  <w:pPr>
                    <w:pStyle w:val="normal0"/>
                    <w:rPr>
                      <w:rFonts w:ascii="Arial" w:eastAsia="Arial" w:hAnsi="Arial" w:cs="Arial"/>
                    </w:rPr>
                  </w:pPr>
                </w:p>
                <w:p w:rsidR="00BA4DA6" w:rsidRDefault="00F149BB">
                  <w:pPr>
                    <w:pStyle w:val="normal0"/>
                    <w:rPr>
                      <w:rFonts w:ascii="Arial" w:eastAsia="Arial" w:hAnsi="Arial" w:cs="Arial"/>
                      <w:b/>
                    </w:rPr>
                  </w:pPr>
                  <w:r>
                    <w:rPr>
                      <w:rFonts w:ascii="Arial" w:eastAsia="Arial" w:hAnsi="Arial" w:cs="Arial"/>
                      <w:b/>
                    </w:rPr>
                    <w:t>The Revolt of the Masses: The Story of Bonifacio and the Katipunan</w:t>
                  </w: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p w:rsidR="00BA4DA6" w:rsidRDefault="00BA4DA6">
                  <w:pPr>
                    <w:pStyle w:val="normal0"/>
                    <w:rPr>
                      <w:rFonts w:ascii="Arial" w:eastAsia="Arial" w:hAnsi="Arial" w:cs="Arial"/>
                    </w:rPr>
                  </w:pPr>
                </w:p>
              </w:tc>
              <w:tc>
                <w:tcPr>
                  <w:tcW w:w="3567" w:type="dxa"/>
                  <w:tcBorders>
                    <w:top w:val="single" w:sz="12" w:space="0" w:color="000000"/>
                    <w:left w:val="single" w:sz="12" w:space="0" w:color="000000"/>
                    <w:bottom w:val="single" w:sz="4" w:space="0" w:color="000000"/>
                    <w:right w:val="single" w:sz="12" w:space="0" w:color="000000"/>
                  </w:tcBorders>
                </w:tcPr>
                <w:p w:rsidR="00BA4DA6" w:rsidRDefault="00BA4DA6">
                  <w:pPr>
                    <w:pStyle w:val="normal0"/>
                    <w:ind w:left="195" w:hanging="195"/>
                    <w:rPr>
                      <w:rFonts w:ascii="Arial" w:eastAsia="Arial" w:hAnsi="Arial" w:cs="Arial"/>
                    </w:rPr>
                  </w:pPr>
                </w:p>
                <w:p w:rsidR="00FA4170" w:rsidRDefault="00474663" w:rsidP="002035BC">
                  <w:pPr>
                    <w:pStyle w:val="normal0"/>
                    <w:numPr>
                      <w:ilvl w:val="0"/>
                      <w:numId w:val="3"/>
                    </w:numPr>
                    <w:spacing w:line="360" w:lineRule="auto"/>
                    <w:jc w:val="both"/>
                    <w:rPr>
                      <w:rFonts w:ascii="Arial" w:eastAsia="Arial" w:hAnsi="Arial" w:cs="Arial"/>
                    </w:rPr>
                  </w:pPr>
                  <w:r w:rsidRPr="00474663">
                    <w:rPr>
                      <w:rFonts w:ascii="Arial" w:eastAsia="Arial" w:hAnsi="Arial" w:cs="Arial"/>
                    </w:rPr>
                    <w:t xml:space="preserve">The objective of the event which was held in Tejeros Covention is to discuss the defense of such a small area as Cavite against the Spaniards during Philippine Revolution. And also to set the dispute between the two councils and to decide on what type of government should be applied. But instead, the convention became an election to decide the leaders of the revolutionary movement by passing the supreme </w:t>
                  </w:r>
                  <w:r w:rsidRPr="00474663">
                    <w:rPr>
                      <w:rFonts w:ascii="Arial" w:eastAsia="Arial" w:hAnsi="Arial" w:cs="Arial"/>
                    </w:rPr>
                    <w:lastRenderedPageBreak/>
                    <w:t>council</w:t>
                  </w:r>
                  <w:r w:rsidR="00FA4170">
                    <w:rPr>
                      <w:rFonts w:ascii="Arial" w:eastAsia="Arial" w:hAnsi="Arial" w:cs="Arial"/>
                    </w:rPr>
                    <w:t>.</w:t>
                  </w:r>
                </w:p>
                <w:p w:rsidR="002035BC" w:rsidRPr="002035BC" w:rsidRDefault="002035BC" w:rsidP="002035BC">
                  <w:pPr>
                    <w:pStyle w:val="normal0"/>
                    <w:spacing w:line="360" w:lineRule="auto"/>
                    <w:ind w:left="720"/>
                    <w:jc w:val="both"/>
                    <w:rPr>
                      <w:rFonts w:ascii="Arial" w:eastAsia="Arial" w:hAnsi="Arial" w:cs="Arial"/>
                    </w:rPr>
                  </w:pPr>
                </w:p>
                <w:p w:rsidR="00FA4170" w:rsidRPr="002035BC" w:rsidRDefault="00FA4170" w:rsidP="002035BC">
                  <w:pPr>
                    <w:pStyle w:val="ListParagraph"/>
                    <w:numPr>
                      <w:ilvl w:val="0"/>
                      <w:numId w:val="3"/>
                    </w:numPr>
                    <w:spacing w:line="480" w:lineRule="auto"/>
                    <w:jc w:val="both"/>
                    <w:rPr>
                      <w:rFonts w:ascii="Arial" w:hAnsi="Arial" w:cs="Arial"/>
                    </w:rPr>
                  </w:pPr>
                  <w:r w:rsidRPr="00FA4170">
                    <w:rPr>
                      <w:rFonts w:ascii="Arial" w:hAnsi="Arial" w:cs="Arial"/>
                    </w:rPr>
                    <w:t>Also Agoncillo’s main objective in writing the book was to write an accurate and concrete but unofficial biography of Andres</w:t>
                  </w:r>
                  <w:r w:rsidR="002035BC">
                    <w:rPr>
                      <w:rFonts w:ascii="Arial" w:hAnsi="Arial" w:cs="Arial"/>
                    </w:rPr>
                    <w:t xml:space="preserve"> Bonifacio. During those times,</w:t>
                  </w:r>
                  <w:r w:rsidRPr="00FA4170">
                    <w:rPr>
                      <w:rFonts w:ascii="Arial" w:hAnsi="Arial" w:cs="Arial"/>
                    </w:rPr>
                    <w:t xml:space="preserve"> Bonifacio, didn’t have a clear and accurate data on his early life. There was, though, an overabundance of documents on his trial and death that an ordinary student could pick out which is reliable and sort out that which is not.</w:t>
                  </w:r>
                  <w:r w:rsidRPr="00FA4170">
                    <w:rPr>
                      <w:rFonts w:ascii="Arial" w:hAnsi="Arial" w:cs="Arial"/>
                    </w:rPr>
                    <w:softHyphen/>
                  </w:r>
                  <w:r w:rsidRPr="00FA4170">
                    <w:rPr>
                      <w:rFonts w:ascii="Arial" w:hAnsi="Arial" w:cs="Arial"/>
                      <w:vertAlign w:val="superscript"/>
                    </w:rPr>
                    <w:t xml:space="preserve"> </w:t>
                  </w:r>
                  <w:r w:rsidRPr="00FA4170">
                    <w:rPr>
                      <w:rFonts w:ascii="Arial" w:hAnsi="Arial" w:cs="Arial"/>
                    </w:rPr>
                    <w:t xml:space="preserve">Agoncillo also claims that although this was a </w:t>
                  </w:r>
                  <w:r w:rsidRPr="00FA4170">
                    <w:rPr>
                      <w:rFonts w:ascii="Arial" w:hAnsi="Arial" w:cs="Arial"/>
                    </w:rPr>
                    <w:lastRenderedPageBreak/>
                    <w:t>biography on Bonifacio, the reader would observe that the spotlight was not focused on Bonifacio rather it was on the Katipunan as a whole.</w:t>
                  </w:r>
                </w:p>
              </w:tc>
              <w:tc>
                <w:tcPr>
                  <w:tcW w:w="3600" w:type="dxa"/>
                  <w:tcBorders>
                    <w:top w:val="single" w:sz="12" w:space="0" w:color="000000"/>
                    <w:left w:val="single" w:sz="12" w:space="0" w:color="000000"/>
                    <w:right w:val="single" w:sz="12" w:space="0" w:color="000000"/>
                  </w:tcBorders>
                </w:tcPr>
                <w:p w:rsidR="00F02F07" w:rsidRPr="00F02F07" w:rsidRDefault="00F02F07">
                  <w:pPr>
                    <w:pStyle w:val="normal0"/>
                    <w:rPr>
                      <w:rFonts w:ascii="Arial" w:eastAsia="Arial" w:hAnsi="Arial" w:cs="Arial"/>
                    </w:rPr>
                  </w:pPr>
                </w:p>
                <w:p w:rsidR="00F02F07" w:rsidRPr="00F02F07" w:rsidRDefault="00F02F07" w:rsidP="00F02F07">
                  <w:pPr>
                    <w:pStyle w:val="ListParagraph"/>
                    <w:numPr>
                      <w:ilvl w:val="0"/>
                      <w:numId w:val="3"/>
                    </w:numPr>
                    <w:tabs>
                      <w:tab w:val="left" w:pos="1159"/>
                    </w:tabs>
                    <w:spacing w:line="360" w:lineRule="auto"/>
                    <w:jc w:val="both"/>
                    <w:rPr>
                      <w:rFonts w:ascii="Arial" w:hAnsi="Arial" w:cs="Arial"/>
                    </w:rPr>
                  </w:pPr>
                  <w:r w:rsidRPr="00F02F07">
                    <w:rPr>
                      <w:rFonts w:ascii="Arial" w:hAnsi="Arial" w:cs="Arial"/>
                      <w:b/>
                    </w:rPr>
                    <w:t>Andres Bonifacio</w:t>
                  </w:r>
                </w:p>
                <w:p w:rsidR="00BA4DA6" w:rsidRDefault="00F02F07" w:rsidP="00F02F07">
                  <w:pPr>
                    <w:pStyle w:val="ListParagraph"/>
                    <w:tabs>
                      <w:tab w:val="left" w:pos="1159"/>
                    </w:tabs>
                    <w:spacing w:line="360" w:lineRule="auto"/>
                    <w:jc w:val="both"/>
                    <w:rPr>
                      <w:rFonts w:ascii="Arial" w:hAnsi="Arial" w:cs="Arial"/>
                    </w:rPr>
                  </w:pPr>
                  <w:r w:rsidRPr="00F02F07">
                    <w:rPr>
                      <w:rFonts w:ascii="Arial" w:hAnsi="Arial" w:cs="Arial"/>
                    </w:rPr>
                    <w:t>- Organized and planned the entire revolutionary movement, President of the supreme Councul of the Katipunan</w:t>
                  </w:r>
                </w:p>
                <w:p w:rsidR="00F02F07" w:rsidRPr="00F02F07" w:rsidRDefault="00F02F07" w:rsidP="00F02F07">
                  <w:pPr>
                    <w:pStyle w:val="ListParagraph"/>
                    <w:tabs>
                      <w:tab w:val="left" w:pos="1159"/>
                    </w:tabs>
                    <w:spacing w:line="360" w:lineRule="auto"/>
                    <w:jc w:val="both"/>
                    <w:rPr>
                      <w:rFonts w:ascii="Arial" w:hAnsi="Arial" w:cs="Arial"/>
                    </w:rPr>
                  </w:pPr>
                </w:p>
                <w:p w:rsidR="00F02F07" w:rsidRPr="00F02F07" w:rsidRDefault="00F02F07" w:rsidP="00F02F07">
                  <w:pPr>
                    <w:pStyle w:val="ListParagraph"/>
                    <w:numPr>
                      <w:ilvl w:val="0"/>
                      <w:numId w:val="5"/>
                    </w:numPr>
                    <w:tabs>
                      <w:tab w:val="left" w:pos="1159"/>
                    </w:tabs>
                    <w:spacing w:line="360" w:lineRule="auto"/>
                    <w:jc w:val="both"/>
                    <w:rPr>
                      <w:rFonts w:ascii="Arial" w:hAnsi="Arial" w:cs="Arial"/>
                    </w:rPr>
                  </w:pPr>
                  <w:r w:rsidRPr="00F02F07">
                    <w:rPr>
                      <w:rFonts w:ascii="Arial" w:hAnsi="Arial" w:cs="Arial"/>
                      <w:b/>
                    </w:rPr>
                    <w:t>Esteban SanJuan</w:t>
                  </w:r>
                </w:p>
                <w:p w:rsidR="00F02F07" w:rsidRDefault="00F02F07" w:rsidP="00F02F07">
                  <w:pPr>
                    <w:tabs>
                      <w:tab w:val="left" w:pos="1159"/>
                    </w:tabs>
                    <w:spacing w:line="360" w:lineRule="auto"/>
                    <w:ind w:left="720"/>
                    <w:jc w:val="both"/>
                    <w:rPr>
                      <w:rFonts w:ascii="Arial" w:hAnsi="Arial" w:cs="Arial"/>
                    </w:rPr>
                  </w:pPr>
                  <w:r w:rsidRPr="00F02F07">
                    <w:rPr>
                      <w:rFonts w:ascii="Arial" w:hAnsi="Arial" w:cs="Arial"/>
                    </w:rPr>
                    <w:t>- who invited Bonifacio to attend the demonstration of the Magdiwang rebels in Noveleta</w:t>
                  </w:r>
                  <w:r>
                    <w:rPr>
                      <w:rFonts w:ascii="Arial" w:hAnsi="Arial" w:cs="Arial"/>
                    </w:rPr>
                    <w:t>.</w:t>
                  </w:r>
                </w:p>
                <w:p w:rsidR="00F02F07" w:rsidRDefault="00F02F07" w:rsidP="0080367B">
                  <w:pPr>
                    <w:tabs>
                      <w:tab w:val="left" w:pos="1159"/>
                    </w:tabs>
                    <w:spacing w:line="360" w:lineRule="auto"/>
                    <w:jc w:val="both"/>
                    <w:rPr>
                      <w:rFonts w:ascii="Arial" w:hAnsi="Arial" w:cs="Arial"/>
                    </w:rPr>
                  </w:pPr>
                </w:p>
                <w:p w:rsidR="00F02F07" w:rsidRDefault="00F02F07" w:rsidP="00F02F07">
                  <w:pPr>
                    <w:pStyle w:val="ListParagraph"/>
                    <w:numPr>
                      <w:ilvl w:val="0"/>
                      <w:numId w:val="5"/>
                    </w:numPr>
                    <w:tabs>
                      <w:tab w:val="left" w:pos="1159"/>
                    </w:tabs>
                    <w:spacing w:line="360" w:lineRule="auto"/>
                    <w:jc w:val="both"/>
                    <w:rPr>
                      <w:rFonts w:ascii="Arial" w:hAnsi="Arial" w:cs="Arial"/>
                    </w:rPr>
                  </w:pPr>
                  <w:r w:rsidRPr="00F02F07">
                    <w:rPr>
                      <w:rFonts w:ascii="Arial" w:hAnsi="Arial" w:cs="Arial"/>
                      <w:b/>
                    </w:rPr>
                    <w:t>Daniel Tirona</w:t>
                  </w:r>
                </w:p>
                <w:p w:rsidR="00F02F07" w:rsidRDefault="00F02F07" w:rsidP="00F02F07">
                  <w:pPr>
                    <w:pStyle w:val="ListParagraph"/>
                    <w:tabs>
                      <w:tab w:val="left" w:pos="1159"/>
                    </w:tabs>
                    <w:spacing w:line="360" w:lineRule="auto"/>
                    <w:jc w:val="both"/>
                    <w:rPr>
                      <w:rFonts w:ascii="Arial" w:hAnsi="Arial" w:cs="Arial"/>
                    </w:rPr>
                  </w:pPr>
                  <w:r w:rsidRPr="00F02F07">
                    <w:rPr>
                      <w:rFonts w:ascii="Arial" w:hAnsi="Arial" w:cs="Arial"/>
                    </w:rPr>
                    <w:t>- is the one who</w:t>
                  </w:r>
                  <w:r>
                    <w:rPr>
                      <w:rFonts w:ascii="Arial" w:hAnsi="Arial" w:cs="Arial"/>
                    </w:rPr>
                    <w:t>’</w:t>
                  </w:r>
                  <w:r w:rsidRPr="00F02F07">
                    <w:rPr>
                      <w:rFonts w:ascii="Arial" w:hAnsi="Arial" w:cs="Arial"/>
                    </w:rPr>
                    <w:t xml:space="preserve">s insisted and against of the proclamation of Andres </w:t>
                  </w:r>
                  <w:r w:rsidRPr="00F02F07">
                    <w:rPr>
                      <w:rFonts w:ascii="Arial" w:hAnsi="Arial" w:cs="Arial"/>
                    </w:rPr>
                    <w:lastRenderedPageBreak/>
                    <w:t>Bonifacio as Director of Interior. He said that the position of Director of Interior is an exalted one and it is not meet that a person without: a lawyers diploma should occupy it.</w:t>
                  </w:r>
                </w:p>
                <w:p w:rsidR="00A97579" w:rsidRDefault="00A97579" w:rsidP="00F02F07">
                  <w:pPr>
                    <w:pStyle w:val="ListParagraph"/>
                    <w:tabs>
                      <w:tab w:val="left" w:pos="1159"/>
                    </w:tabs>
                    <w:spacing w:line="360" w:lineRule="auto"/>
                    <w:jc w:val="both"/>
                    <w:rPr>
                      <w:rFonts w:ascii="Arial" w:hAnsi="Arial" w:cs="Arial"/>
                    </w:rPr>
                  </w:pPr>
                </w:p>
                <w:p w:rsidR="00A97579" w:rsidRPr="00F02F07" w:rsidRDefault="00A97579" w:rsidP="00F02F07">
                  <w:pPr>
                    <w:pStyle w:val="ListParagraph"/>
                    <w:tabs>
                      <w:tab w:val="left" w:pos="1159"/>
                    </w:tabs>
                    <w:spacing w:line="360" w:lineRule="auto"/>
                    <w:jc w:val="both"/>
                    <w:rPr>
                      <w:rFonts w:ascii="Arial" w:hAnsi="Arial" w:cs="Arial"/>
                    </w:rPr>
                  </w:pPr>
                </w:p>
                <w:p w:rsidR="00F02F07" w:rsidRPr="00F02F07" w:rsidRDefault="00F02F07" w:rsidP="00F02F07">
                  <w:pPr>
                    <w:tabs>
                      <w:tab w:val="left" w:pos="2151"/>
                    </w:tabs>
                    <w:rPr>
                      <w:rFonts w:ascii="Arial" w:hAnsi="Arial" w:cs="Arial"/>
                    </w:rPr>
                  </w:pPr>
                  <w:r>
                    <w:rPr>
                      <w:rFonts w:ascii="Arial" w:hAnsi="Arial" w:cs="Arial"/>
                    </w:rPr>
                    <w:tab/>
                  </w:r>
                </w:p>
              </w:tc>
              <w:tc>
                <w:tcPr>
                  <w:tcW w:w="3600" w:type="dxa"/>
                  <w:tcBorders>
                    <w:top w:val="single" w:sz="12" w:space="0" w:color="000000"/>
                    <w:left w:val="single" w:sz="12" w:space="0" w:color="000000"/>
                    <w:right w:val="single" w:sz="12" w:space="0" w:color="000000"/>
                  </w:tcBorders>
                </w:tcPr>
                <w:p w:rsidR="00BA4DA6" w:rsidRDefault="00BA4DA6">
                  <w:pPr>
                    <w:pStyle w:val="normal0"/>
                    <w:rPr>
                      <w:rFonts w:ascii="Arial" w:eastAsia="Arial" w:hAnsi="Arial" w:cs="Arial"/>
                    </w:rPr>
                  </w:pPr>
                </w:p>
                <w:p w:rsidR="00BC7E24" w:rsidRPr="00BC7E24" w:rsidRDefault="00BC7E24" w:rsidP="00BC7E24">
                  <w:pPr>
                    <w:pStyle w:val="ListParagraph"/>
                    <w:numPr>
                      <w:ilvl w:val="0"/>
                      <w:numId w:val="5"/>
                    </w:numPr>
                    <w:shd w:val="clear" w:color="auto" w:fill="FFFFFF"/>
                    <w:spacing w:line="360" w:lineRule="auto"/>
                    <w:jc w:val="both"/>
                    <w:textAlignment w:val="baseline"/>
                    <w:rPr>
                      <w:rFonts w:ascii="Arial" w:eastAsia="Times New Roman" w:hAnsi="Arial" w:cs="Arial"/>
                      <w:color w:val="16192B"/>
                      <w:lang w:val="en-US"/>
                    </w:rPr>
                  </w:pPr>
                  <w:r w:rsidRPr="00BC7E24">
                    <w:rPr>
                      <w:rFonts w:ascii="Arial" w:eastAsia="Times New Roman" w:hAnsi="Arial" w:cs="Arial"/>
                      <w:color w:val="000000"/>
                      <w:spacing w:val="2"/>
                      <w:lang w:val="en-US"/>
                    </w:rPr>
                    <w:t xml:space="preserve">The bias of Agoncillo covers up what happened </w:t>
                  </w:r>
                  <w:r w:rsidRPr="00BC7E24">
                    <w:rPr>
                      <w:rFonts w:ascii="Arial" w:eastAsia="Times New Roman" w:hAnsi="Arial" w:cs="Arial"/>
                      <w:color w:val="000000"/>
                      <w:spacing w:val="-2"/>
                      <w:lang w:val="en-US"/>
                    </w:rPr>
                    <w:t xml:space="preserve">before the Tejeros convention happened. Also Agoncillo </w:t>
                  </w:r>
                  <w:r w:rsidRPr="00BC7E24">
                    <w:rPr>
                      <w:rFonts w:ascii="Arial" w:eastAsia="Times New Roman" w:hAnsi="Arial" w:cs="Arial"/>
                      <w:color w:val="000000"/>
                      <w:spacing w:val="2"/>
                      <w:lang w:val="en-US"/>
                    </w:rPr>
                    <w:t xml:space="preserve">mentioned some different significant battle before the </w:t>
                  </w:r>
                  <w:r w:rsidRPr="00BC7E24">
                    <w:rPr>
                      <w:rFonts w:ascii="Arial" w:eastAsia="Times New Roman" w:hAnsi="Arial" w:cs="Arial"/>
                      <w:color w:val="000000"/>
                      <w:spacing w:val="-4"/>
                      <w:lang w:val="en-US"/>
                    </w:rPr>
                    <w:t xml:space="preserve">Tejeros convention happened. He is pinpointing some of </w:t>
                  </w:r>
                  <w:r w:rsidRPr="00BC7E24">
                    <w:rPr>
                      <w:rFonts w:ascii="Arial" w:eastAsia="Times New Roman" w:hAnsi="Arial" w:cs="Arial"/>
                      <w:color w:val="000000"/>
                      <w:spacing w:val="2"/>
                      <w:lang w:val="en-US"/>
                    </w:rPr>
                    <w:t xml:space="preserve">important events that took place before or prior to </w:t>
                  </w:r>
                  <w:r w:rsidRPr="00BC7E24">
                    <w:rPr>
                      <w:rFonts w:ascii="Arial" w:eastAsia="Times New Roman" w:hAnsi="Arial" w:cs="Arial"/>
                      <w:color w:val="000000"/>
                      <w:spacing w:val="-4"/>
                      <w:lang w:val="en-US"/>
                    </w:rPr>
                    <w:t xml:space="preserve">Tejeros convention. Unlike the events that is Alvarez has </w:t>
                  </w:r>
                  <w:r w:rsidRPr="00BC7E24">
                    <w:rPr>
                      <w:rFonts w:ascii="Arial" w:eastAsia="Times New Roman" w:hAnsi="Arial" w:cs="Arial"/>
                      <w:color w:val="000000"/>
                      <w:spacing w:val="2"/>
                      <w:lang w:val="en-US"/>
                    </w:rPr>
                    <w:t xml:space="preserve">given, Agoncillo's events has a different significant dates </w:t>
                  </w:r>
                  <w:r w:rsidRPr="00BC7E24">
                    <w:rPr>
                      <w:rFonts w:ascii="Arial" w:eastAsia="Times New Roman" w:hAnsi="Arial" w:cs="Arial"/>
                      <w:color w:val="000000"/>
                      <w:spacing w:val="-2"/>
                      <w:lang w:val="en-US"/>
                    </w:rPr>
                    <w:t xml:space="preserve">also. He is just not pinpointing the </w:t>
                  </w:r>
                  <w:r w:rsidRPr="00BC7E24">
                    <w:rPr>
                      <w:rFonts w:ascii="Arial" w:eastAsia="Times New Roman" w:hAnsi="Arial" w:cs="Arial"/>
                      <w:color w:val="000000"/>
                      <w:spacing w:val="-2"/>
                      <w:lang w:val="en-US"/>
                    </w:rPr>
                    <w:lastRenderedPageBreak/>
                    <w:t xml:space="preserve">event in Tejeros </w:t>
                  </w:r>
                  <w:r w:rsidRPr="00BC7E24">
                    <w:rPr>
                      <w:rFonts w:ascii="Arial" w:eastAsia="Times New Roman" w:hAnsi="Arial" w:cs="Arial"/>
                      <w:color w:val="000000"/>
                      <w:spacing w:val="2"/>
                      <w:lang w:val="en-US"/>
                    </w:rPr>
                    <w:t xml:space="preserve">convention but also the significant events before the </w:t>
                  </w:r>
                  <w:r w:rsidRPr="00BC7E24">
                    <w:rPr>
                      <w:rFonts w:ascii="Arial" w:eastAsia="Times New Roman" w:hAnsi="Arial" w:cs="Arial"/>
                      <w:color w:val="000000"/>
                      <w:spacing w:val="-11"/>
                      <w:lang w:val="en-US"/>
                    </w:rPr>
                    <w:t>Tejeros convention.</w:t>
                  </w:r>
                </w:p>
                <w:p w:rsidR="00BC7E24" w:rsidRPr="00BC7E24" w:rsidRDefault="00BC7E24" w:rsidP="00BC7E24">
                  <w:pPr>
                    <w:shd w:val="clear" w:color="auto" w:fill="FFFFFF"/>
                    <w:textAlignment w:val="baseline"/>
                    <w:rPr>
                      <w:rFonts w:ascii="inherit" w:eastAsia="Times New Roman" w:hAnsi="inherit" w:cs="Times New Roman"/>
                      <w:color w:val="16192B"/>
                      <w:sz w:val="26"/>
                      <w:szCs w:val="26"/>
                      <w:lang w:val="en-US"/>
                    </w:rPr>
                  </w:pPr>
                  <w:r w:rsidRPr="00BC7E24">
                    <w:rPr>
                      <w:rFonts w:ascii="inherit" w:eastAsia="Times New Roman" w:hAnsi="inherit" w:cs="Times New Roman"/>
                      <w:color w:val="16192B"/>
                      <w:sz w:val="26"/>
                      <w:szCs w:val="2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of page 21" style="width:24.3pt;height:24.3pt"/>
                    </w:pict>
                  </w:r>
                </w:p>
                <w:p w:rsidR="001F49BE" w:rsidRPr="00F02F07" w:rsidRDefault="001F49BE" w:rsidP="001F49BE">
                  <w:pPr>
                    <w:pStyle w:val="normal0"/>
                    <w:numPr>
                      <w:ilvl w:val="0"/>
                      <w:numId w:val="5"/>
                    </w:numPr>
                    <w:spacing w:line="360" w:lineRule="auto"/>
                    <w:jc w:val="both"/>
                    <w:rPr>
                      <w:rFonts w:ascii="Arial" w:eastAsia="Arial" w:hAnsi="Arial" w:cs="Arial"/>
                    </w:rPr>
                  </w:pPr>
                  <w:r w:rsidRPr="001F49BE">
                    <w:rPr>
                      <w:rFonts w:ascii="Arial" w:eastAsia="Arial" w:hAnsi="Arial" w:cs="Arial"/>
                    </w:rPr>
                    <w:t xml:space="preserve">Agoncillo has no direct involvement in the Tejeros Convention. The book emphasize more about the Katipunan rather than its founder which is Andres Bonifacio. Agoncillo highlight the importance of an organized movement the Magdalo and Magdiwang that sworn to achieve its goal. Agoncillo acknowledges the dearth of biographical information on Bonifacio. The second reason why he gives more emphasis on the movement is because of his belief that Bonifacio can best seen and appreciated against the </w:t>
                  </w:r>
                  <w:r w:rsidRPr="001F49BE">
                    <w:rPr>
                      <w:rFonts w:ascii="Arial" w:eastAsia="Arial" w:hAnsi="Arial" w:cs="Arial"/>
                    </w:rPr>
                    <w:lastRenderedPageBreak/>
                    <w:t>backdrop of the revolutionary society.</w:t>
                  </w:r>
                </w:p>
              </w:tc>
              <w:tc>
                <w:tcPr>
                  <w:tcW w:w="3510" w:type="dxa"/>
                  <w:tcBorders>
                    <w:top w:val="single" w:sz="12" w:space="0" w:color="000000"/>
                    <w:left w:val="single" w:sz="12" w:space="0" w:color="000000"/>
                    <w:bottom w:val="single" w:sz="4" w:space="0" w:color="000000"/>
                    <w:right w:val="single" w:sz="12" w:space="0" w:color="000000"/>
                  </w:tcBorders>
                </w:tcPr>
                <w:p w:rsidR="00BA4DA6" w:rsidRDefault="00BA4DA6">
                  <w:pPr>
                    <w:pStyle w:val="normal0"/>
                    <w:rPr>
                      <w:rFonts w:ascii="Arial" w:eastAsia="Arial" w:hAnsi="Arial" w:cs="Arial"/>
                    </w:rPr>
                  </w:pPr>
                </w:p>
                <w:p w:rsidR="00FE1309" w:rsidRPr="00FE1309" w:rsidRDefault="00FE1309" w:rsidP="00FE1309">
                  <w:pPr>
                    <w:pStyle w:val="normal0"/>
                    <w:numPr>
                      <w:ilvl w:val="0"/>
                      <w:numId w:val="5"/>
                    </w:numPr>
                    <w:spacing w:line="360" w:lineRule="auto"/>
                    <w:jc w:val="both"/>
                    <w:rPr>
                      <w:rFonts w:ascii="Arial" w:eastAsia="Arial" w:hAnsi="Arial" w:cs="Arial"/>
                      <w:lang w:val="en-US"/>
                    </w:rPr>
                  </w:pPr>
                  <w:r>
                    <w:rPr>
                      <w:rFonts w:ascii="Arial" w:eastAsia="Arial" w:hAnsi="Arial" w:cs="Arial"/>
                    </w:rPr>
                    <w:t>This are  the arguments of the source based on what I’ve read and understand in this book.</w:t>
                  </w:r>
                </w:p>
                <w:p w:rsidR="00FE1309" w:rsidRDefault="00FE1309" w:rsidP="00FE1309">
                  <w:pPr>
                    <w:pStyle w:val="normal0"/>
                    <w:spacing w:line="360" w:lineRule="auto"/>
                    <w:ind w:left="720"/>
                    <w:jc w:val="both"/>
                    <w:rPr>
                      <w:rFonts w:ascii="Arial" w:eastAsia="Arial" w:hAnsi="Arial" w:cs="Arial"/>
                      <w:lang w:val="en-US"/>
                    </w:rPr>
                  </w:pPr>
                </w:p>
                <w:p w:rsidR="00FE1309" w:rsidRDefault="007A2B6B" w:rsidP="00FE1309">
                  <w:pPr>
                    <w:pStyle w:val="normal0"/>
                    <w:numPr>
                      <w:ilvl w:val="0"/>
                      <w:numId w:val="7"/>
                    </w:numPr>
                    <w:spacing w:line="360" w:lineRule="auto"/>
                    <w:jc w:val="both"/>
                    <w:rPr>
                      <w:rFonts w:ascii="Arial" w:eastAsia="Arial" w:hAnsi="Arial" w:cs="Arial"/>
                      <w:lang w:val="en-US"/>
                    </w:rPr>
                  </w:pPr>
                  <w:r w:rsidRPr="007A2B6B">
                    <w:rPr>
                      <w:rFonts w:ascii="Arial" w:eastAsia="Arial" w:hAnsi="Arial" w:cs="Arial"/>
                      <w:lang w:val="en-US"/>
                    </w:rPr>
                    <w:t>There are</w:t>
                  </w:r>
                  <w:r w:rsidRPr="00FE1309">
                    <w:rPr>
                      <w:rFonts w:ascii="Arial" w:eastAsia="Arial" w:hAnsi="Arial" w:cs="Arial"/>
                      <w:lang w:val="en-US"/>
                    </w:rPr>
                    <w:t xml:space="preserve"> more of noteworthy ideas, events and facets of the year 1896 and what appeared to be one of the most life-changing events in the life of the Filipino that I was able to appreciate and learn from. Since most of the book was on the Revolution and the </w:t>
                  </w:r>
                  <w:r w:rsidRPr="00FE1309">
                    <w:rPr>
                      <w:rFonts w:ascii="Arial" w:eastAsia="Arial" w:hAnsi="Arial" w:cs="Arial"/>
                      <w:lang w:val="en-US"/>
                    </w:rPr>
                    <w:lastRenderedPageBreak/>
                    <w:t xml:space="preserve">Katipunan, a majority of the events appeared chaotic to me. For example, the system of government within the Katipunan and the way the members elected their leaders was somehow disheartening and at the same time disturbing since I liken it to how we elect our leaders today. Indeed, Agoncillo was able to make the Revolution come to life in my mind. </w:t>
                  </w:r>
                </w:p>
                <w:p w:rsidR="00FE1309" w:rsidRDefault="00FE1309" w:rsidP="00FE1309">
                  <w:pPr>
                    <w:pStyle w:val="normal0"/>
                    <w:spacing w:line="360" w:lineRule="auto"/>
                    <w:ind w:left="900"/>
                    <w:jc w:val="both"/>
                    <w:rPr>
                      <w:rFonts w:ascii="Arial" w:eastAsia="Arial" w:hAnsi="Arial" w:cs="Arial"/>
                      <w:lang w:val="en-US"/>
                    </w:rPr>
                  </w:pPr>
                </w:p>
                <w:p w:rsidR="00FE1309" w:rsidRDefault="007A2B6B" w:rsidP="00FE1309">
                  <w:pPr>
                    <w:pStyle w:val="normal0"/>
                    <w:numPr>
                      <w:ilvl w:val="0"/>
                      <w:numId w:val="7"/>
                    </w:numPr>
                    <w:spacing w:line="360" w:lineRule="auto"/>
                    <w:jc w:val="both"/>
                    <w:rPr>
                      <w:rFonts w:ascii="Arial" w:eastAsia="Arial" w:hAnsi="Arial" w:cs="Arial"/>
                      <w:lang w:val="en-US"/>
                    </w:rPr>
                  </w:pPr>
                  <w:r w:rsidRPr="00FE1309">
                    <w:rPr>
                      <w:rFonts w:ascii="Arial" w:eastAsia="Arial" w:hAnsi="Arial" w:cs="Arial"/>
                      <w:lang w:val="en-US"/>
                    </w:rPr>
                    <w:t xml:space="preserve">Agoncillo was also able to make the readers know what was in the minds of the characters </w:t>
                  </w:r>
                </w:p>
                <w:p w:rsidR="00FE1309" w:rsidRDefault="00FE1309" w:rsidP="00FE1309">
                  <w:pPr>
                    <w:pStyle w:val="ListParagraph"/>
                    <w:rPr>
                      <w:rFonts w:ascii="Arial" w:eastAsia="Arial" w:hAnsi="Arial" w:cs="Arial"/>
                      <w:lang w:val="en-US"/>
                    </w:rPr>
                  </w:pPr>
                </w:p>
                <w:p w:rsidR="007A2B6B" w:rsidRPr="00FE1309" w:rsidRDefault="007A2B6B" w:rsidP="00FE1309">
                  <w:pPr>
                    <w:pStyle w:val="normal0"/>
                    <w:spacing w:line="360" w:lineRule="auto"/>
                    <w:ind w:left="900"/>
                    <w:jc w:val="both"/>
                    <w:rPr>
                      <w:rFonts w:ascii="Arial" w:eastAsia="Arial" w:hAnsi="Arial" w:cs="Arial"/>
                      <w:lang w:val="en-US"/>
                    </w:rPr>
                  </w:pPr>
                  <w:r w:rsidRPr="00FE1309">
                    <w:rPr>
                      <w:rFonts w:ascii="Arial" w:eastAsia="Arial" w:hAnsi="Arial" w:cs="Arial"/>
                      <w:lang w:val="en-US"/>
                    </w:rPr>
                    <w:t xml:space="preserve">– their feelings on different subjects, their plans for themselves and their organization </w:t>
                  </w:r>
                  <w:r w:rsidRPr="00FE1309">
                    <w:rPr>
                      <w:rFonts w:ascii="Arial" w:eastAsia="Arial" w:hAnsi="Arial" w:cs="Arial"/>
                      <w:lang w:val="en-US"/>
                    </w:rPr>
                    <w:lastRenderedPageBreak/>
                    <w:t xml:space="preserve">and what they thought was going to be the best way to independence, not just how they acted and what they looked like from the outside. He didn’t leave out anything, since I wasn’t looking for anything more (the book, as I said, contained the most specific details it could cover), and all parts were significant to the whole. </w:t>
                  </w:r>
                </w:p>
                <w:p w:rsidR="002A0BD1" w:rsidRDefault="002A0BD1" w:rsidP="002035BC">
                  <w:pPr>
                    <w:pStyle w:val="normal0"/>
                    <w:ind w:left="720"/>
                    <w:rPr>
                      <w:rFonts w:ascii="Arial" w:eastAsia="Arial" w:hAnsi="Arial" w:cs="Arial"/>
                    </w:rPr>
                  </w:pPr>
                </w:p>
              </w:tc>
            </w:tr>
          </w:tbl>
          <w:p w:rsidR="00BA4DA6" w:rsidRDefault="00BA4DA6">
            <w:pPr>
              <w:pStyle w:val="normal0"/>
              <w:rPr>
                <w:sz w:val="16"/>
                <w:szCs w:val="16"/>
              </w:rPr>
            </w:pPr>
          </w:p>
          <w:p w:rsidR="00BA4DA6" w:rsidRDefault="00BA4DA6">
            <w:pPr>
              <w:pStyle w:val="normal0"/>
              <w:rPr>
                <w:sz w:val="16"/>
                <w:szCs w:val="16"/>
              </w:rPr>
            </w:pPr>
          </w:p>
        </w:tc>
      </w:tr>
    </w:tbl>
    <w:p w:rsidR="001F49BE" w:rsidRDefault="001F49BE">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FE1309" w:rsidRDefault="00FE1309">
      <w:pPr>
        <w:pStyle w:val="normal0"/>
        <w:rPr>
          <w:rFonts w:ascii="Arial" w:eastAsia="Arial" w:hAnsi="Arial" w:cs="Arial"/>
          <w:b/>
        </w:rPr>
      </w:pPr>
    </w:p>
    <w:p w:rsidR="00BA4DA6" w:rsidRDefault="00F149BB">
      <w:pPr>
        <w:pStyle w:val="normal0"/>
        <w:rPr>
          <w:rFonts w:ascii="Arial" w:eastAsia="Arial" w:hAnsi="Arial" w:cs="Arial"/>
          <w:b/>
        </w:rPr>
      </w:pPr>
      <w:r>
        <w:rPr>
          <w:rFonts w:ascii="Arial" w:eastAsia="Arial" w:hAnsi="Arial" w:cs="Arial"/>
          <w:b/>
        </w:rPr>
        <w:t>C.  FINDING / CONCLUSION</w:t>
      </w:r>
    </w:p>
    <w:tbl>
      <w:tblPr>
        <w:tblStyle w:val="a2"/>
        <w:tblW w:w="16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55"/>
        <w:gridCol w:w="10710"/>
      </w:tblGrid>
      <w:tr w:rsidR="00BA4DA6">
        <w:trPr>
          <w:trHeight w:val="560"/>
        </w:trPr>
        <w:tc>
          <w:tcPr>
            <w:tcW w:w="5655" w:type="dxa"/>
            <w:tcBorders>
              <w:top w:val="single" w:sz="12" w:space="0" w:color="000000"/>
              <w:left w:val="single" w:sz="12" w:space="0" w:color="000000"/>
            </w:tcBorders>
            <w:shd w:val="clear" w:color="auto" w:fill="000000"/>
          </w:tcPr>
          <w:p w:rsidR="00BA4DA6" w:rsidRDefault="00BA4DA6">
            <w:pPr>
              <w:pStyle w:val="normal0"/>
              <w:jc w:val="center"/>
              <w:rPr>
                <w:rFonts w:ascii="Times New Roman" w:eastAsia="Times New Roman" w:hAnsi="Times New Roman" w:cs="Times New Roman"/>
                <w:b/>
                <w:color w:val="FFFFFF"/>
                <w:sz w:val="24"/>
                <w:szCs w:val="24"/>
              </w:rPr>
            </w:pPr>
          </w:p>
          <w:p w:rsidR="00BA4DA6" w:rsidRDefault="00F149BB">
            <w:pPr>
              <w:pStyle w:val="normal0"/>
              <w:ind w:left="180"/>
              <w:rPr>
                <w:rFonts w:ascii="Arial" w:eastAsia="Arial" w:hAnsi="Arial" w:cs="Arial"/>
                <w:b/>
                <w:sz w:val="24"/>
                <w:szCs w:val="24"/>
              </w:rPr>
            </w:pPr>
            <w:r>
              <w:rPr>
                <w:rFonts w:ascii="Arial" w:eastAsia="Arial" w:hAnsi="Arial" w:cs="Arial"/>
                <w:b/>
                <w:color w:val="FFFFFF"/>
              </w:rPr>
              <w:t>In your examination of the sources, what did you find out?</w:t>
            </w:r>
          </w:p>
        </w:tc>
        <w:tc>
          <w:tcPr>
            <w:tcW w:w="10710" w:type="dxa"/>
            <w:shd w:val="clear" w:color="auto" w:fill="auto"/>
          </w:tcPr>
          <w:p w:rsidR="00BA4DA6" w:rsidRDefault="00BA4DA6">
            <w:pPr>
              <w:pStyle w:val="normal0"/>
              <w:jc w:val="center"/>
              <w:rPr>
                <w:rFonts w:ascii="Arial" w:eastAsia="Arial" w:hAnsi="Arial" w:cs="Arial"/>
              </w:rPr>
            </w:pPr>
          </w:p>
          <w:p w:rsidR="00474663" w:rsidRDefault="00474663" w:rsidP="00474663">
            <w:pPr>
              <w:pStyle w:val="normal0"/>
              <w:spacing w:line="360" w:lineRule="auto"/>
              <w:jc w:val="both"/>
              <w:rPr>
                <w:rFonts w:ascii="Arial" w:eastAsia="Arial" w:hAnsi="Arial" w:cs="Arial"/>
              </w:rPr>
            </w:pPr>
            <w:r>
              <w:rPr>
                <w:rFonts w:ascii="Arial" w:eastAsia="Arial" w:hAnsi="Arial" w:cs="Arial"/>
              </w:rPr>
              <w:t xml:space="preserve">          </w:t>
            </w:r>
            <w:r w:rsidRPr="00474663">
              <w:rPr>
                <w:rFonts w:ascii="Arial" w:eastAsia="Arial" w:hAnsi="Arial" w:cs="Arial"/>
              </w:rPr>
              <w:t>While examining the sources, especially the "The Katipunan and the Revolution: Memoirs of a General" that was written by Santiago Alvarez. I found out that he is one of the main eyewitness or the active prticipant in the events that make this book so authentic. Santiago Alvarez is writing directly from his experience. He was not an ordinary spectator trying to recollect what had transpired before his eyes. An active participant and a decision maker, he was also in a position to know the authenticity of the narratives that other historians can only dream of. In writing this memoir, he stated that: "I will attempt to write down what I saw and what I know about the Katipunan and the Revolution", a subtle way of assuming his readers of the truthfulnes</w:t>
            </w:r>
            <w:r w:rsidR="0080367B">
              <w:rPr>
                <w:rFonts w:ascii="Arial" w:eastAsia="Arial" w:hAnsi="Arial" w:cs="Arial"/>
              </w:rPr>
              <w:t>s</w:t>
            </w:r>
            <w:r w:rsidRPr="00474663">
              <w:rPr>
                <w:rFonts w:ascii="Arial" w:eastAsia="Arial" w:hAnsi="Arial" w:cs="Arial"/>
              </w:rPr>
              <w:t xml:space="preserve"> of his account.</w:t>
            </w:r>
          </w:p>
          <w:p w:rsidR="00474663" w:rsidRDefault="00474663" w:rsidP="00474663">
            <w:pPr>
              <w:pStyle w:val="normal0"/>
              <w:spacing w:line="360" w:lineRule="auto"/>
              <w:jc w:val="both"/>
              <w:rPr>
                <w:rFonts w:ascii="Arial" w:eastAsia="Arial" w:hAnsi="Arial" w:cs="Arial"/>
              </w:rPr>
            </w:pPr>
          </w:p>
          <w:p w:rsidR="002035BC" w:rsidRDefault="00474663" w:rsidP="00474663">
            <w:pPr>
              <w:pStyle w:val="normal0"/>
              <w:spacing w:line="360" w:lineRule="auto"/>
              <w:jc w:val="both"/>
              <w:rPr>
                <w:rFonts w:ascii="Arial" w:eastAsia="Arial" w:hAnsi="Arial" w:cs="Arial"/>
              </w:rPr>
            </w:pPr>
            <w:r w:rsidRPr="00474663">
              <w:rPr>
                <w:rFonts w:ascii="Arial" w:eastAsia="Arial" w:hAnsi="Arial" w:cs="Arial"/>
              </w:rPr>
              <w:t xml:space="preserve"> </w:t>
            </w:r>
            <w:r>
              <w:rPr>
                <w:rFonts w:ascii="Arial" w:eastAsia="Arial" w:hAnsi="Arial" w:cs="Arial"/>
              </w:rPr>
              <w:t xml:space="preserve">         </w:t>
            </w:r>
            <w:r w:rsidRPr="00474663">
              <w:rPr>
                <w:rFonts w:ascii="Arial" w:eastAsia="Arial" w:hAnsi="Arial" w:cs="Arial"/>
              </w:rPr>
              <w:t>The work is a faithful reconstruction of events that happened in the brightest period of our history as a people longing for an independent coun</w:t>
            </w:r>
            <w:r w:rsidR="0080367B">
              <w:rPr>
                <w:rFonts w:ascii="Arial" w:eastAsia="Arial" w:hAnsi="Arial" w:cs="Arial"/>
              </w:rPr>
              <w:t>try. The uniqueness and strength</w:t>
            </w:r>
            <w:r w:rsidRPr="00474663">
              <w:rPr>
                <w:rFonts w:ascii="Arial" w:eastAsia="Arial" w:hAnsi="Arial" w:cs="Arial"/>
              </w:rPr>
              <w:t xml:space="preserve"> of this historical work lies in the fact that the author was an active participant in the events he was writing about.</w:t>
            </w:r>
          </w:p>
          <w:p w:rsidR="00BA4DA6" w:rsidRDefault="00BA4DA6" w:rsidP="002035BC">
            <w:pPr>
              <w:pStyle w:val="normal0"/>
              <w:rPr>
                <w:rFonts w:ascii="Arial" w:eastAsia="Arial" w:hAnsi="Arial" w:cs="Arial"/>
              </w:rPr>
            </w:pPr>
          </w:p>
        </w:tc>
      </w:tr>
    </w:tbl>
    <w:p w:rsidR="00BA4DA6" w:rsidRDefault="00F149BB">
      <w:pPr>
        <w:pStyle w:val="normal0"/>
      </w:pPr>
      <w:bookmarkStart w:id="0" w:name="_gjdgxs" w:colFirst="0" w:colLast="0"/>
      <w:bookmarkEnd w:id="0"/>
      <w:r>
        <w:t>*Additional page or pages might be necessary in encoding your [adequate] responses.  Use 11-point font Arial or 12-point font Times New Roman ONLY.</w:t>
      </w:r>
    </w:p>
    <w:sectPr w:rsidR="00BA4DA6" w:rsidSect="00BA4DA6">
      <w:headerReference w:type="default" r:id="rId7"/>
      <w:footerReference w:type="default" r:id="rId8"/>
      <w:pgSz w:w="18720" w:h="12240"/>
      <w:pgMar w:top="432" w:right="1008" w:bottom="432" w:left="1008" w:header="706" w:footer="72"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1AD" w:rsidRDefault="00E161AD" w:rsidP="00BA4DA6">
      <w:pPr>
        <w:spacing w:after="0" w:line="240" w:lineRule="auto"/>
      </w:pPr>
      <w:r>
        <w:separator/>
      </w:r>
    </w:p>
  </w:endnote>
  <w:endnote w:type="continuationSeparator" w:id="1">
    <w:p w:rsidR="00E161AD" w:rsidRDefault="00E161AD" w:rsidP="00BA4D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DA6" w:rsidRDefault="00364489">
    <w:pPr>
      <w:pStyle w:val="normal0"/>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F149BB">
      <w:rPr>
        <w:color w:val="000000"/>
      </w:rPr>
      <w:instrText>PAGE</w:instrText>
    </w:r>
    <w:r>
      <w:rPr>
        <w:color w:val="000000"/>
      </w:rPr>
      <w:fldChar w:fldCharType="separate"/>
    </w:r>
    <w:r w:rsidR="00542256">
      <w:rPr>
        <w:noProof/>
        <w:color w:val="000000"/>
      </w:rPr>
      <w:t>9</w:t>
    </w:r>
    <w:r>
      <w:rPr>
        <w:color w:val="000000"/>
      </w:rPr>
      <w:fldChar w:fldCharType="end"/>
    </w:r>
  </w:p>
  <w:p w:rsidR="00BA4DA6" w:rsidRDefault="00BA4DA6">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1AD" w:rsidRDefault="00E161AD" w:rsidP="00BA4DA6">
      <w:pPr>
        <w:spacing w:after="0" w:line="240" w:lineRule="auto"/>
      </w:pPr>
      <w:r>
        <w:separator/>
      </w:r>
    </w:p>
  </w:footnote>
  <w:footnote w:type="continuationSeparator" w:id="1">
    <w:p w:rsidR="00E161AD" w:rsidRDefault="00E161AD" w:rsidP="00BA4D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DA6" w:rsidRDefault="00F149BB">
    <w:pPr>
      <w:pStyle w:val="normal0"/>
      <w:pBdr>
        <w:top w:val="nil"/>
        <w:left w:val="nil"/>
        <w:bottom w:val="nil"/>
        <w:right w:val="nil"/>
        <w:between w:val="nil"/>
      </w:pBdr>
      <w:tabs>
        <w:tab w:val="center" w:pos="4680"/>
        <w:tab w:val="right" w:pos="9360"/>
      </w:tabs>
      <w:spacing w:after="0" w:line="240" w:lineRule="auto"/>
      <w:jc w:val="center"/>
      <w:rPr>
        <w:rFonts w:ascii="Arial" w:eastAsia="Arial" w:hAnsi="Arial" w:cs="Arial"/>
        <w:b/>
        <w:color w:val="000000"/>
        <w:sz w:val="24"/>
        <w:szCs w:val="24"/>
      </w:rPr>
    </w:pPr>
    <w:r>
      <w:rPr>
        <w:rFonts w:ascii="Arial" w:eastAsia="Arial" w:hAnsi="Arial" w:cs="Arial"/>
        <w:b/>
        <w:color w:val="000000"/>
        <w:sz w:val="24"/>
        <w:szCs w:val="24"/>
      </w:rPr>
      <w:t>ACTIVITY NO. 2</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anchor allowOverlap="1" behindDoc="0" distB="0" distT="0" distL="114300" distR="114300" hidden="0" layoutInCell="1" locked="0" relativeHeight="0" simplePos="0">
            <wp:simplePos x="0" y="0"/>
            <wp:positionH relativeFrom="column">
              <wp:posOffset>7899400</wp:posOffset>
            </wp:positionH>
            <wp:positionV relativeFrom="paragraph">
              <wp:posOffset>-241299</wp:posOffset>
            </wp:positionV>
            <wp:extent cx="2981325" cy="1413510"/>
            <wp:effectExtent b="0" l="0" r="0" t="0"/>
            <wp:wrapNone/>
            <wp:docPr id="1" name=""/>
            <a:graphic>
              <a:graphicData uri="http://schemas.microsoft.com/office/word/2010/wordprocessingShape">
                <wps:wsp>
                  <wps:cNvSpPr/>
                  <wps:cNvPr id="2" name="Shape 2"/>
                  <wps:spPr>
                    <a:xfrm>
                      <a:off x="3860100" y="3078008"/>
                      <a:ext cx="2971800" cy="1403985"/>
                    </a:xfrm>
                    <a:prstGeom prst="rect">
                      <a:avLst/>
                    </a:prstGeom>
                    <a:solidFill>
                      <a:srgbClr val="FFFFFF"/>
                    </a:solid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c00000"/>
                            <w:sz w:val="28"/>
                            <w:vertAlign w:val="baseline"/>
                          </w:rPr>
                          <w:t xml:space="preserve">FOR NON-BA HISTORY MAJORS ONLY</w:t>
                        </w:r>
                      </w:p>
                    </w:txbxContent>
                  </wps:txbx>
                  <wps:bodyPr anchorCtr="0" anchor="t" bIns="45700" lIns="91425" spcFirstLastPara="1" rIns="91425" wrap="square" tIns="45700">
                    <a:noAutofit/>
                  </wps:bodyPr>
                </wps:wsp>
              </a:graphicData>
            </a:graphic>
          </wp:anchor>
        </w:drawing>
      </mc:Choice>
      <ve:Fallback>
        <w:r>
          <w:rPr>
            <w:noProof/>
            <w:lang w:val="en-US"/>
          </w:rPr>
          <w:drawing>
            <wp:anchor distT="0" distB="0" distL="114300" distR="114300" simplePos="0" relativeHeight="251658240" behindDoc="0" locked="0" layoutInCell="1" allowOverlap="1">
              <wp:simplePos x="0" y="0"/>
              <wp:positionH relativeFrom="column">
                <wp:posOffset>7899400</wp:posOffset>
              </wp:positionH>
              <wp:positionV relativeFrom="paragraph">
                <wp:posOffset>-241299</wp:posOffset>
              </wp:positionV>
              <wp:extent cx="2981325" cy="141351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981325" cy="1413510"/>
                      </a:xfrm>
                      <a:prstGeom prst="rect">
                        <a:avLst/>
                      </a:prstGeom>
                      <a:ln/>
                    </pic:spPr>
                  </pic:pic>
                </a:graphicData>
              </a:graphic>
            </wp:anchor>
          </w:drawing>
        </w:r>
      </ve:Fallback>
    </ve:AlternateContent>
  </w:p>
  <w:p w:rsidR="00BA4DA6" w:rsidRDefault="00F149BB">
    <w:pPr>
      <w:pStyle w:val="normal0"/>
      <w:pBdr>
        <w:top w:val="nil"/>
        <w:left w:val="nil"/>
        <w:bottom w:val="nil"/>
        <w:right w:val="nil"/>
        <w:between w:val="nil"/>
      </w:pBdr>
      <w:tabs>
        <w:tab w:val="center" w:pos="4680"/>
        <w:tab w:val="right" w:pos="9360"/>
      </w:tabs>
      <w:spacing w:after="0" w:line="240" w:lineRule="auto"/>
      <w:jc w:val="center"/>
      <w:rPr>
        <w:rFonts w:ascii="Arial" w:eastAsia="Arial" w:hAnsi="Arial" w:cs="Arial"/>
        <w:color w:val="000000"/>
      </w:rPr>
    </w:pPr>
    <w:r>
      <w:rPr>
        <w:rFonts w:ascii="Arial" w:eastAsia="Arial" w:hAnsi="Arial" w:cs="Arial"/>
        <w:color w:val="000000"/>
      </w:rPr>
      <w:t>READING A PRIMARY SOURCE VS. A SECONDARY SOURCE</w:t>
    </w:r>
  </w:p>
  <w:p w:rsidR="00BA4DA6" w:rsidRDefault="00BA4DA6">
    <w:pPr>
      <w:pStyle w:val="normal0"/>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A0047"/>
    <w:multiLevelType w:val="hybridMultilevel"/>
    <w:tmpl w:val="59D48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06107C"/>
    <w:multiLevelType w:val="hybridMultilevel"/>
    <w:tmpl w:val="105CF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45DAC"/>
    <w:multiLevelType w:val="hybridMultilevel"/>
    <w:tmpl w:val="B136D9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1583CBE"/>
    <w:multiLevelType w:val="hybridMultilevel"/>
    <w:tmpl w:val="B27C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8C0A56"/>
    <w:multiLevelType w:val="hybridMultilevel"/>
    <w:tmpl w:val="CE7E4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17168E"/>
    <w:multiLevelType w:val="hybridMultilevel"/>
    <w:tmpl w:val="83C6E51A"/>
    <w:lvl w:ilvl="0" w:tplc="D0F036D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17645B"/>
    <w:multiLevelType w:val="hybridMultilevel"/>
    <w:tmpl w:val="C45C7B82"/>
    <w:lvl w:ilvl="0" w:tplc="52C027B2">
      <w:numFmt w:val="bullet"/>
      <w:lvlText w:val="-"/>
      <w:lvlJc w:val="left"/>
      <w:pPr>
        <w:ind w:left="900" w:hanging="360"/>
      </w:pPr>
      <w:rPr>
        <w:rFonts w:ascii="Arial" w:eastAsia="Arial"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737A6FFC"/>
    <w:multiLevelType w:val="hybridMultilevel"/>
    <w:tmpl w:val="921C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F472B2"/>
    <w:multiLevelType w:val="hybridMultilevel"/>
    <w:tmpl w:val="B0D43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6F3C4D"/>
    <w:multiLevelType w:val="multilevel"/>
    <w:tmpl w:val="9C70ECB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1080"/>
      </w:pPr>
      <w:rPr>
        <w:rFonts w:ascii="Courier New" w:eastAsia="Courier New" w:hAnsi="Courier New" w:cs="Courier New"/>
      </w:rPr>
    </w:lvl>
    <w:lvl w:ilvl="2">
      <w:numFmt w:val="bullet"/>
      <w:lvlText w:val=""/>
      <w:lvlJc w:val="left"/>
      <w:pPr>
        <w:ind w:left="2160" w:hanging="1800"/>
      </w:pPr>
    </w:lvl>
    <w:lvl w:ilvl="3">
      <w:numFmt w:val="bullet"/>
      <w:lvlText w:val="●"/>
      <w:lvlJc w:val="left"/>
      <w:pPr>
        <w:ind w:left="2880" w:hanging="2520"/>
      </w:pPr>
      <w:rPr>
        <w:rFonts w:ascii="Noto Sans Symbols" w:eastAsia="Noto Sans Symbols" w:hAnsi="Noto Sans Symbols" w:cs="Noto Sans Symbols"/>
      </w:rPr>
    </w:lvl>
    <w:lvl w:ilvl="4">
      <w:numFmt w:val="bullet"/>
      <w:lvlText w:val="o"/>
      <w:lvlJc w:val="left"/>
      <w:pPr>
        <w:ind w:left="3600" w:hanging="3240"/>
      </w:pPr>
      <w:rPr>
        <w:rFonts w:ascii="Courier New" w:eastAsia="Courier New" w:hAnsi="Courier New" w:cs="Courier New"/>
      </w:rPr>
    </w:lvl>
    <w:lvl w:ilvl="5">
      <w:numFmt w:val="bullet"/>
      <w:lvlText w:val=""/>
      <w:lvlJc w:val="left"/>
      <w:pPr>
        <w:ind w:left="4320" w:hanging="3960"/>
      </w:pPr>
    </w:lvl>
    <w:lvl w:ilvl="6">
      <w:numFmt w:val="bullet"/>
      <w:lvlText w:val="●"/>
      <w:lvlJc w:val="left"/>
      <w:pPr>
        <w:ind w:left="5040" w:hanging="4680"/>
      </w:pPr>
      <w:rPr>
        <w:rFonts w:ascii="Noto Sans Symbols" w:eastAsia="Noto Sans Symbols" w:hAnsi="Noto Sans Symbols" w:cs="Noto Sans Symbols"/>
      </w:rPr>
    </w:lvl>
    <w:lvl w:ilvl="7">
      <w:numFmt w:val="bullet"/>
      <w:lvlText w:val="o"/>
      <w:lvlJc w:val="left"/>
      <w:pPr>
        <w:ind w:left="5760" w:hanging="5400"/>
      </w:pPr>
      <w:rPr>
        <w:rFonts w:ascii="Courier New" w:eastAsia="Courier New" w:hAnsi="Courier New" w:cs="Courier New"/>
      </w:rPr>
    </w:lvl>
    <w:lvl w:ilvl="8">
      <w:numFmt w:val="bullet"/>
      <w:lvlText w:val=""/>
      <w:lvlJc w:val="left"/>
      <w:pPr>
        <w:ind w:left="6480" w:hanging="6120"/>
      </w:pPr>
    </w:lvl>
  </w:abstractNum>
  <w:num w:numId="1">
    <w:abstractNumId w:val="9"/>
  </w:num>
  <w:num w:numId="2">
    <w:abstractNumId w:val="8"/>
  </w:num>
  <w:num w:numId="3">
    <w:abstractNumId w:val="7"/>
  </w:num>
  <w:num w:numId="4">
    <w:abstractNumId w:val="0"/>
  </w:num>
  <w:num w:numId="5">
    <w:abstractNumId w:val="4"/>
  </w:num>
  <w:num w:numId="6">
    <w:abstractNumId w:val="5"/>
  </w:num>
  <w:num w:numId="7">
    <w:abstractNumId w:val="6"/>
  </w:num>
  <w:num w:numId="8">
    <w:abstractNumId w:val="3"/>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BA4DA6"/>
    <w:rsid w:val="001619C9"/>
    <w:rsid w:val="001F49BE"/>
    <w:rsid w:val="002035BC"/>
    <w:rsid w:val="002A0BD1"/>
    <w:rsid w:val="00364489"/>
    <w:rsid w:val="00474663"/>
    <w:rsid w:val="00542256"/>
    <w:rsid w:val="0075524F"/>
    <w:rsid w:val="007A2B6B"/>
    <w:rsid w:val="0080367B"/>
    <w:rsid w:val="00A97579"/>
    <w:rsid w:val="00BA4DA6"/>
    <w:rsid w:val="00BC7E24"/>
    <w:rsid w:val="00C301EA"/>
    <w:rsid w:val="00E161AD"/>
    <w:rsid w:val="00F02F07"/>
    <w:rsid w:val="00F149BB"/>
    <w:rsid w:val="00FA4170"/>
    <w:rsid w:val="00FE13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489"/>
  </w:style>
  <w:style w:type="paragraph" w:styleId="Heading1">
    <w:name w:val="heading 1"/>
    <w:basedOn w:val="normal0"/>
    <w:next w:val="normal0"/>
    <w:rsid w:val="00BA4DA6"/>
    <w:pPr>
      <w:spacing w:before="480"/>
      <w:outlineLvl w:val="0"/>
    </w:pPr>
    <w:rPr>
      <w:b/>
      <w:color w:val="345A8A"/>
      <w:sz w:val="32"/>
      <w:szCs w:val="32"/>
    </w:rPr>
  </w:style>
  <w:style w:type="paragraph" w:styleId="Heading2">
    <w:name w:val="heading 2"/>
    <w:basedOn w:val="normal0"/>
    <w:next w:val="normal0"/>
    <w:rsid w:val="00BA4DA6"/>
    <w:pPr>
      <w:spacing w:before="200"/>
      <w:outlineLvl w:val="1"/>
    </w:pPr>
    <w:rPr>
      <w:b/>
      <w:color w:val="4F81BD"/>
      <w:sz w:val="26"/>
      <w:szCs w:val="26"/>
    </w:rPr>
  </w:style>
  <w:style w:type="paragraph" w:styleId="Heading3">
    <w:name w:val="heading 3"/>
    <w:basedOn w:val="normal0"/>
    <w:next w:val="normal0"/>
    <w:rsid w:val="00BA4DA6"/>
    <w:pPr>
      <w:spacing w:before="200"/>
      <w:outlineLvl w:val="2"/>
    </w:pPr>
    <w:rPr>
      <w:b/>
      <w:color w:val="4F81BD"/>
      <w:sz w:val="24"/>
      <w:szCs w:val="24"/>
    </w:rPr>
  </w:style>
  <w:style w:type="paragraph" w:styleId="Heading4">
    <w:name w:val="heading 4"/>
    <w:basedOn w:val="normal0"/>
    <w:next w:val="normal0"/>
    <w:rsid w:val="00BA4DA6"/>
    <w:pPr>
      <w:keepNext/>
      <w:keepLines/>
      <w:spacing w:before="240" w:after="40"/>
      <w:outlineLvl w:val="3"/>
    </w:pPr>
    <w:rPr>
      <w:b/>
      <w:sz w:val="24"/>
      <w:szCs w:val="24"/>
    </w:rPr>
  </w:style>
  <w:style w:type="paragraph" w:styleId="Heading5">
    <w:name w:val="heading 5"/>
    <w:basedOn w:val="normal0"/>
    <w:next w:val="normal0"/>
    <w:rsid w:val="00BA4DA6"/>
    <w:pPr>
      <w:keepNext/>
      <w:keepLines/>
      <w:spacing w:before="220" w:after="40"/>
      <w:outlineLvl w:val="4"/>
    </w:pPr>
    <w:rPr>
      <w:b/>
    </w:rPr>
  </w:style>
  <w:style w:type="paragraph" w:styleId="Heading6">
    <w:name w:val="heading 6"/>
    <w:basedOn w:val="normal0"/>
    <w:next w:val="normal0"/>
    <w:rsid w:val="00BA4DA6"/>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A4DA6"/>
  </w:style>
  <w:style w:type="paragraph" w:styleId="Title">
    <w:name w:val="Title"/>
    <w:basedOn w:val="normal0"/>
    <w:next w:val="normal0"/>
    <w:rsid w:val="00BA4DA6"/>
    <w:pPr>
      <w:spacing w:after="300"/>
    </w:pPr>
    <w:rPr>
      <w:color w:val="17365D"/>
      <w:sz w:val="52"/>
      <w:szCs w:val="52"/>
    </w:rPr>
  </w:style>
  <w:style w:type="paragraph" w:styleId="Subtitle">
    <w:name w:val="Subtitle"/>
    <w:basedOn w:val="normal0"/>
    <w:next w:val="normal0"/>
    <w:rsid w:val="00BA4DA6"/>
    <w:rPr>
      <w:i/>
      <w:color w:val="4F81BD"/>
      <w:sz w:val="24"/>
      <w:szCs w:val="24"/>
    </w:rPr>
  </w:style>
  <w:style w:type="table" w:customStyle="1" w:styleId="a">
    <w:basedOn w:val="TableNormal"/>
    <w:rsid w:val="00BA4DA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BA4DA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BA4DA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BA4DA6"/>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F02F07"/>
    <w:pPr>
      <w:ind w:left="720"/>
      <w:contextualSpacing/>
    </w:pPr>
  </w:style>
  <w:style w:type="character" w:customStyle="1" w:styleId="t">
    <w:name w:val="t"/>
    <w:basedOn w:val="DefaultParagraphFont"/>
    <w:rsid w:val="00BC7E24"/>
  </w:style>
</w:styles>
</file>

<file path=word/webSettings.xml><?xml version="1.0" encoding="utf-8"?>
<w:webSettings xmlns:r="http://schemas.openxmlformats.org/officeDocument/2006/relationships" xmlns:w="http://schemas.openxmlformats.org/wordprocessingml/2006/main">
  <w:divs>
    <w:div w:id="1393381173">
      <w:bodyDiv w:val="1"/>
      <w:marLeft w:val="0"/>
      <w:marRight w:val="0"/>
      <w:marTop w:val="0"/>
      <w:marBottom w:val="0"/>
      <w:divBdr>
        <w:top w:val="none" w:sz="0" w:space="0" w:color="auto"/>
        <w:left w:val="none" w:sz="0" w:space="0" w:color="auto"/>
        <w:bottom w:val="none" w:sz="0" w:space="0" w:color="auto"/>
        <w:right w:val="none" w:sz="0" w:space="0" w:color="auto"/>
      </w:divBdr>
      <w:divsChild>
        <w:div w:id="2090153238">
          <w:marLeft w:val="0"/>
          <w:marRight w:val="0"/>
          <w:marTop w:val="224"/>
          <w:marBottom w:val="337"/>
          <w:divBdr>
            <w:top w:val="single" w:sz="8" w:space="0" w:color="E3E3E3"/>
            <w:left w:val="single" w:sz="8" w:space="0" w:color="E3E3E3"/>
            <w:bottom w:val="single" w:sz="8" w:space="0" w:color="E3E3E3"/>
            <w:right w:val="single" w:sz="8" w:space="0" w:color="E3E3E3"/>
          </w:divBdr>
          <w:divsChild>
            <w:div w:id="1077365171">
              <w:marLeft w:val="0"/>
              <w:marRight w:val="0"/>
              <w:marTop w:val="0"/>
              <w:marBottom w:val="0"/>
              <w:divBdr>
                <w:top w:val="none" w:sz="0" w:space="0" w:color="auto"/>
                <w:left w:val="none" w:sz="0" w:space="0" w:color="auto"/>
                <w:bottom w:val="none" w:sz="0" w:space="0" w:color="auto"/>
                <w:right w:val="none" w:sz="0" w:space="0" w:color="auto"/>
              </w:divBdr>
              <w:divsChild>
                <w:div w:id="1337614234">
                  <w:marLeft w:val="0"/>
                  <w:marRight w:val="0"/>
                  <w:marTop w:val="0"/>
                  <w:marBottom w:val="0"/>
                  <w:divBdr>
                    <w:top w:val="none" w:sz="0" w:space="0" w:color="auto"/>
                    <w:left w:val="none" w:sz="0" w:space="0" w:color="auto"/>
                    <w:bottom w:val="none" w:sz="0" w:space="0" w:color="auto"/>
                    <w:right w:val="none" w:sz="0" w:space="0" w:color="auto"/>
                  </w:divBdr>
                </w:div>
                <w:div w:id="80284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317329">
      <w:bodyDiv w:val="1"/>
      <w:marLeft w:val="0"/>
      <w:marRight w:val="0"/>
      <w:marTop w:val="0"/>
      <w:marBottom w:val="0"/>
      <w:divBdr>
        <w:top w:val="none" w:sz="0" w:space="0" w:color="auto"/>
        <w:left w:val="none" w:sz="0" w:space="0" w:color="auto"/>
        <w:bottom w:val="none" w:sz="0" w:space="0" w:color="auto"/>
        <w:right w:val="none" w:sz="0" w:space="0" w:color="auto"/>
      </w:divBdr>
      <w:divsChild>
        <w:div w:id="1573541594">
          <w:marLeft w:val="0"/>
          <w:marRight w:val="0"/>
          <w:marTop w:val="0"/>
          <w:marBottom w:val="0"/>
          <w:divBdr>
            <w:top w:val="none" w:sz="0" w:space="0" w:color="auto"/>
            <w:left w:val="none" w:sz="0" w:space="0" w:color="auto"/>
            <w:bottom w:val="none" w:sz="0" w:space="0" w:color="auto"/>
            <w:right w:val="none" w:sz="0" w:space="0" w:color="auto"/>
          </w:divBdr>
          <w:divsChild>
            <w:div w:id="587083956">
              <w:marLeft w:val="0"/>
              <w:marRight w:val="0"/>
              <w:marTop w:val="224"/>
              <w:marBottom w:val="337"/>
              <w:divBdr>
                <w:top w:val="single" w:sz="8" w:space="0" w:color="E3E3E3"/>
                <w:left w:val="single" w:sz="8" w:space="0" w:color="E3E3E3"/>
                <w:bottom w:val="single" w:sz="8" w:space="0" w:color="E3E3E3"/>
                <w:right w:val="single" w:sz="8" w:space="0" w:color="E3E3E3"/>
              </w:divBdr>
              <w:divsChild>
                <w:div w:id="744254996">
                  <w:marLeft w:val="0"/>
                  <w:marRight w:val="0"/>
                  <w:marTop w:val="0"/>
                  <w:marBottom w:val="0"/>
                  <w:divBdr>
                    <w:top w:val="none" w:sz="0" w:space="0" w:color="auto"/>
                    <w:left w:val="none" w:sz="0" w:space="0" w:color="auto"/>
                    <w:bottom w:val="none" w:sz="0" w:space="0" w:color="auto"/>
                    <w:right w:val="none" w:sz="0" w:space="0" w:color="auto"/>
                  </w:divBdr>
                  <w:divsChild>
                    <w:div w:id="1300643845">
                      <w:marLeft w:val="0"/>
                      <w:marRight w:val="0"/>
                      <w:marTop w:val="0"/>
                      <w:marBottom w:val="0"/>
                      <w:divBdr>
                        <w:top w:val="none" w:sz="0" w:space="0" w:color="auto"/>
                        <w:left w:val="none" w:sz="0" w:space="0" w:color="auto"/>
                        <w:bottom w:val="none" w:sz="0" w:space="0" w:color="auto"/>
                        <w:right w:val="none" w:sz="0" w:space="0" w:color="auto"/>
                      </w:divBdr>
                    </w:div>
                    <w:div w:id="22514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662346">
              <w:marLeft w:val="0"/>
              <w:marRight w:val="0"/>
              <w:marTop w:val="224"/>
              <w:marBottom w:val="337"/>
              <w:divBdr>
                <w:top w:val="single" w:sz="8" w:space="0" w:color="E3E3E3"/>
                <w:left w:val="single" w:sz="8" w:space="0" w:color="E3E3E3"/>
                <w:bottom w:val="single" w:sz="8" w:space="0" w:color="E3E3E3"/>
                <w:right w:val="single" w:sz="8" w:space="0" w:color="E3E3E3"/>
              </w:divBdr>
              <w:divsChild>
                <w:div w:id="430324501">
                  <w:marLeft w:val="0"/>
                  <w:marRight w:val="0"/>
                  <w:marTop w:val="0"/>
                  <w:marBottom w:val="0"/>
                  <w:divBdr>
                    <w:top w:val="none" w:sz="0" w:space="0" w:color="auto"/>
                    <w:left w:val="none" w:sz="0" w:space="0" w:color="auto"/>
                    <w:bottom w:val="none" w:sz="0" w:space="0" w:color="auto"/>
                    <w:right w:val="none" w:sz="0" w:space="0" w:color="auto"/>
                  </w:divBdr>
                  <w:divsChild>
                    <w:div w:id="2696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996757">
      <w:bodyDiv w:val="1"/>
      <w:marLeft w:val="0"/>
      <w:marRight w:val="0"/>
      <w:marTop w:val="0"/>
      <w:marBottom w:val="0"/>
      <w:divBdr>
        <w:top w:val="none" w:sz="0" w:space="0" w:color="auto"/>
        <w:left w:val="none" w:sz="0" w:space="0" w:color="auto"/>
        <w:bottom w:val="none" w:sz="0" w:space="0" w:color="auto"/>
        <w:right w:val="none" w:sz="0" w:space="0" w:color="auto"/>
      </w:divBdr>
      <w:divsChild>
        <w:div w:id="911356146">
          <w:marLeft w:val="0"/>
          <w:marRight w:val="0"/>
          <w:marTop w:val="224"/>
          <w:marBottom w:val="337"/>
          <w:divBdr>
            <w:top w:val="single" w:sz="8" w:space="0" w:color="E3E3E3"/>
            <w:left w:val="single" w:sz="8" w:space="0" w:color="E3E3E3"/>
            <w:bottom w:val="single" w:sz="8" w:space="0" w:color="E3E3E3"/>
            <w:right w:val="single" w:sz="8" w:space="0" w:color="E3E3E3"/>
          </w:divBdr>
          <w:divsChild>
            <w:div w:id="414086844">
              <w:marLeft w:val="0"/>
              <w:marRight w:val="0"/>
              <w:marTop w:val="0"/>
              <w:marBottom w:val="0"/>
              <w:divBdr>
                <w:top w:val="none" w:sz="0" w:space="0" w:color="auto"/>
                <w:left w:val="none" w:sz="0" w:space="0" w:color="auto"/>
                <w:bottom w:val="none" w:sz="0" w:space="0" w:color="auto"/>
                <w:right w:val="none" w:sz="0" w:space="0" w:color="auto"/>
              </w:divBdr>
              <w:divsChild>
                <w:div w:id="761728496">
                  <w:marLeft w:val="0"/>
                  <w:marRight w:val="0"/>
                  <w:marTop w:val="0"/>
                  <w:marBottom w:val="0"/>
                  <w:divBdr>
                    <w:top w:val="none" w:sz="0" w:space="0" w:color="auto"/>
                    <w:left w:val="none" w:sz="0" w:space="0" w:color="auto"/>
                    <w:bottom w:val="none" w:sz="0" w:space="0" w:color="auto"/>
                    <w:right w:val="none" w:sz="0" w:space="0" w:color="auto"/>
                  </w:divBdr>
                </w:div>
                <w:div w:id="11086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julz</dc:creator>
  <cp:lastModifiedBy>julz</cp:lastModifiedBy>
  <cp:revision>2</cp:revision>
  <dcterms:created xsi:type="dcterms:W3CDTF">2019-10-07T01:51:00Z</dcterms:created>
  <dcterms:modified xsi:type="dcterms:W3CDTF">2019-10-07T01:51:00Z</dcterms:modified>
</cp:coreProperties>
</file>