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E4D6C" w:rsidRPr="001E4D6C" w:rsidRDefault="001E4D6C" w:rsidP="001E4D6C">
      <w:pPr>
        <w:spacing w:line="276" w:lineRule="auto"/>
        <w:outlineLvl w:val="0"/>
        <w:rPr>
          <w:rFonts w:ascii="Arial" w:eastAsia="Times New Roman" w:hAnsi="Arial" w:cs="Arial"/>
          <w:bCs/>
          <w:iCs/>
          <w:caps/>
          <w:color w:val="4472C4" w:themeColor="accent1"/>
          <w:kern w:val="36"/>
          <w:sz w:val="28"/>
          <w:szCs w:val="28"/>
        </w:rPr>
      </w:pPr>
      <w:r w:rsidRPr="001E4D6C">
        <w:rPr>
          <w:rFonts w:ascii="Arial" w:eastAsia="Times New Roman" w:hAnsi="Arial" w:cs="Arial"/>
          <w:bCs/>
          <w:iCs/>
          <w:caps/>
          <w:color w:val="4472C4" w:themeColor="accent1"/>
          <w:kern w:val="36"/>
          <w:sz w:val="28"/>
          <w:szCs w:val="28"/>
        </w:rPr>
        <w:t>INTERNATIONAL EXPRESS TRAVEL VS CA (343 SCRA 674)</w:t>
      </w:r>
    </w:p>
    <w:p w:rsidR="001E4D6C" w:rsidRPr="001E4D6C" w:rsidRDefault="001E4D6C" w:rsidP="001E4D6C">
      <w:pPr>
        <w:spacing w:before="100" w:beforeAutospacing="1" w:after="100" w:afterAutospacing="1" w:line="276" w:lineRule="auto"/>
        <w:jc w:val="center"/>
        <w:rPr>
          <w:rFonts w:ascii="Arial" w:eastAsia="Times New Roman" w:hAnsi="Arial" w:cs="Arial"/>
          <w:color w:val="4472C4" w:themeColor="accent1"/>
          <w:sz w:val="28"/>
          <w:szCs w:val="28"/>
        </w:rPr>
      </w:pPr>
      <w:r w:rsidRPr="001E4D6C">
        <w:rPr>
          <w:rFonts w:ascii="Arial" w:eastAsia="Times New Roman" w:hAnsi="Arial" w:cs="Arial"/>
          <w:bCs/>
          <w:color w:val="4472C4" w:themeColor="accent1"/>
          <w:sz w:val="28"/>
          <w:szCs w:val="28"/>
        </w:rPr>
        <w:t>International Express Travel And Tour Services Inc. vs Court of Appeals</w:t>
      </w:r>
      <w:r w:rsidRPr="001E4D6C">
        <w:rPr>
          <w:rFonts w:ascii="Arial" w:eastAsia="Times New Roman" w:hAnsi="Arial" w:cs="Arial"/>
          <w:color w:val="4472C4" w:themeColor="accent1"/>
          <w:sz w:val="28"/>
          <w:szCs w:val="28"/>
        </w:rPr>
        <w:br/>
      </w:r>
      <w:r w:rsidRPr="001E4D6C">
        <w:rPr>
          <w:rFonts w:ascii="Arial" w:eastAsia="Times New Roman" w:hAnsi="Arial" w:cs="Arial"/>
          <w:bCs/>
          <w:color w:val="4472C4" w:themeColor="accent1"/>
          <w:sz w:val="28"/>
          <w:szCs w:val="28"/>
        </w:rPr>
        <w:t>343 SCRA 674 [GR No. 119002 October 19, 2000]</w:t>
      </w:r>
    </w:p>
    <w:p w:rsidR="001E4D6C" w:rsidRPr="001E4D6C" w:rsidRDefault="001E4D6C" w:rsidP="001E4D6C">
      <w:pPr>
        <w:spacing w:before="100" w:beforeAutospacing="1" w:after="100" w:afterAutospacing="1" w:line="276" w:lineRule="auto"/>
        <w:jc w:val="both"/>
        <w:rPr>
          <w:rFonts w:ascii="Arial" w:eastAsia="Times New Roman" w:hAnsi="Arial" w:cs="Arial"/>
          <w:color w:val="4472C4" w:themeColor="accent1"/>
          <w:sz w:val="28"/>
          <w:szCs w:val="28"/>
        </w:rPr>
      </w:pPr>
      <w:r w:rsidRPr="001E4D6C">
        <w:rPr>
          <w:rFonts w:ascii="Arial" w:eastAsia="Times New Roman" w:hAnsi="Arial" w:cs="Arial"/>
          <w:bCs/>
          <w:color w:val="4472C4" w:themeColor="accent1"/>
          <w:sz w:val="28"/>
          <w:szCs w:val="28"/>
        </w:rPr>
        <w:t>Facts:</w:t>
      </w:r>
      <w:r w:rsidRPr="001E4D6C">
        <w:rPr>
          <w:rFonts w:ascii="Arial" w:eastAsia="Times New Roman" w:hAnsi="Arial" w:cs="Arial"/>
          <w:color w:val="4472C4" w:themeColor="accent1"/>
          <w:sz w:val="28"/>
          <w:szCs w:val="28"/>
        </w:rPr>
        <w:t xml:space="preserve"> On June 30, 1989, petitioner International Express Travel and Tours Services Inc., through its managing director, wrote a letter to the Philippine Football Federation through its President Henri Kahn, wherein the former offered its services as a travel agency to the latter. The offer was accepted. Petitioner secured the airline tickets for the trips of the athletes and officials of the Federation to the South East Asian Games in Kuala Lumpur as well as various other trips to the People’s Republic of China and Brisbane. The total cost of the tickets amounted to Php449,654.83. For the tickets received, the Federation made two partial payments, both in September of 1989 in the total amount of Php176,467.50. On October 4, 1989, petitioner wrote the Federation, through the private respondent a demand letter requesting for the amount of Php265,844.33. On October 30, 1989, the Federation, through the project </w:t>
      </w:r>
      <w:proofErr w:type="spellStart"/>
      <w:r w:rsidRPr="001E4D6C">
        <w:rPr>
          <w:rFonts w:ascii="Arial" w:eastAsia="Times New Roman" w:hAnsi="Arial" w:cs="Arial"/>
          <w:color w:val="4472C4" w:themeColor="accent1"/>
          <w:sz w:val="28"/>
          <w:szCs w:val="28"/>
        </w:rPr>
        <w:t>gintong</w:t>
      </w:r>
      <w:proofErr w:type="spellEnd"/>
      <w:r w:rsidRPr="001E4D6C">
        <w:rPr>
          <w:rFonts w:ascii="Arial" w:eastAsia="Times New Roman" w:hAnsi="Arial" w:cs="Arial"/>
          <w:color w:val="4472C4" w:themeColor="accent1"/>
          <w:sz w:val="28"/>
          <w:szCs w:val="28"/>
        </w:rPr>
        <w:t xml:space="preserve"> </w:t>
      </w:r>
      <w:proofErr w:type="spellStart"/>
      <w:r w:rsidRPr="001E4D6C">
        <w:rPr>
          <w:rFonts w:ascii="Arial" w:eastAsia="Times New Roman" w:hAnsi="Arial" w:cs="Arial"/>
          <w:color w:val="4472C4" w:themeColor="accent1"/>
          <w:sz w:val="28"/>
          <w:szCs w:val="28"/>
        </w:rPr>
        <w:t>alay</w:t>
      </w:r>
      <w:proofErr w:type="spellEnd"/>
      <w:r w:rsidRPr="001E4D6C">
        <w:rPr>
          <w:rFonts w:ascii="Arial" w:eastAsia="Times New Roman" w:hAnsi="Arial" w:cs="Arial"/>
          <w:color w:val="4472C4" w:themeColor="accent1"/>
          <w:sz w:val="28"/>
          <w:szCs w:val="28"/>
        </w:rPr>
        <w:t>, paid the amount of Php31,603. On December 27, 1989, Henri Kahn issued a personal check in the amount of Php50,000 as partial payment for the outstanding balance of the Federation. Thereafter, no further payments were made despite repeated demands. Hence, this petition. </w:t>
      </w:r>
    </w:p>
    <w:p w:rsidR="001E4D6C" w:rsidRPr="001E4D6C" w:rsidRDefault="001E4D6C" w:rsidP="001E4D6C">
      <w:pPr>
        <w:spacing w:before="100" w:beforeAutospacing="1" w:after="100" w:afterAutospacing="1" w:line="276" w:lineRule="auto"/>
        <w:jc w:val="both"/>
        <w:rPr>
          <w:rFonts w:ascii="Arial" w:eastAsia="Times New Roman" w:hAnsi="Arial" w:cs="Arial"/>
          <w:color w:val="4472C4" w:themeColor="accent1"/>
          <w:sz w:val="28"/>
          <w:szCs w:val="28"/>
        </w:rPr>
      </w:pPr>
      <w:r w:rsidRPr="001E4D6C">
        <w:rPr>
          <w:rFonts w:ascii="Arial" w:eastAsia="Times New Roman" w:hAnsi="Arial" w:cs="Arial"/>
          <w:bCs/>
          <w:color w:val="4472C4" w:themeColor="accent1"/>
          <w:sz w:val="28"/>
          <w:szCs w:val="28"/>
        </w:rPr>
        <w:t>Issue:</w:t>
      </w:r>
      <w:r w:rsidRPr="001E4D6C">
        <w:rPr>
          <w:rFonts w:ascii="Arial" w:eastAsia="Times New Roman" w:hAnsi="Arial" w:cs="Arial"/>
          <w:color w:val="4472C4" w:themeColor="accent1"/>
          <w:sz w:val="28"/>
          <w:szCs w:val="28"/>
        </w:rPr>
        <w:t> Whether or not private respondent can be made personally liable for the liabilities of the Philippines Football Federation.</w:t>
      </w:r>
    </w:p>
    <w:p w:rsidR="001E4D6C" w:rsidRPr="001E4D6C" w:rsidRDefault="001E4D6C" w:rsidP="001E4D6C">
      <w:pPr>
        <w:spacing w:before="100" w:beforeAutospacing="1" w:after="100" w:afterAutospacing="1" w:line="276" w:lineRule="auto"/>
        <w:jc w:val="both"/>
        <w:rPr>
          <w:rFonts w:ascii="Arial" w:eastAsia="Times New Roman" w:hAnsi="Arial" w:cs="Arial"/>
          <w:color w:val="4472C4" w:themeColor="accent1"/>
          <w:sz w:val="28"/>
          <w:szCs w:val="28"/>
        </w:rPr>
      </w:pPr>
      <w:r w:rsidRPr="001E4D6C">
        <w:rPr>
          <w:rFonts w:ascii="Arial" w:eastAsia="Times New Roman" w:hAnsi="Arial" w:cs="Arial"/>
          <w:bCs/>
          <w:color w:val="4472C4" w:themeColor="accent1"/>
          <w:sz w:val="28"/>
          <w:szCs w:val="28"/>
        </w:rPr>
        <w:t>Held:</w:t>
      </w:r>
      <w:r w:rsidRPr="001E4D6C">
        <w:rPr>
          <w:rFonts w:ascii="Arial" w:eastAsia="Times New Roman" w:hAnsi="Arial" w:cs="Arial"/>
          <w:color w:val="4472C4" w:themeColor="accent1"/>
          <w:sz w:val="28"/>
          <w:szCs w:val="28"/>
        </w:rPr>
        <w:t xml:space="preserve"> Yes. A voluntary unincorporated association, like defendant Federation has no power to enter into, or to ratify a contract. The contract entered into by its officers or agents on behalf of such </w:t>
      </w:r>
      <w:r w:rsidRPr="001E4D6C">
        <w:rPr>
          <w:rFonts w:ascii="Arial" w:eastAsia="Times New Roman" w:hAnsi="Arial" w:cs="Arial"/>
          <w:color w:val="4472C4" w:themeColor="accent1"/>
          <w:sz w:val="28"/>
          <w:szCs w:val="28"/>
        </w:rPr>
        <w:lastRenderedPageBreak/>
        <w:t>association is binding or, as enforceable against it. The officers or agents are themselves personally liable. </w:t>
      </w:r>
    </w:p>
    <w:p w:rsidR="001E4D6C" w:rsidRPr="001E4D6C" w:rsidRDefault="001E4D6C" w:rsidP="001E4D6C">
      <w:pPr>
        <w:spacing w:before="100" w:beforeAutospacing="1" w:after="100" w:afterAutospacing="1" w:line="276" w:lineRule="auto"/>
        <w:jc w:val="both"/>
        <w:rPr>
          <w:rFonts w:ascii="Arial" w:eastAsia="Times New Roman" w:hAnsi="Arial" w:cs="Arial"/>
          <w:color w:val="4472C4" w:themeColor="accent1"/>
          <w:sz w:val="28"/>
          <w:szCs w:val="28"/>
        </w:rPr>
      </w:pPr>
      <w:r w:rsidRPr="001E4D6C">
        <w:rPr>
          <w:rFonts w:ascii="Arial" w:eastAsia="Times New Roman" w:hAnsi="Arial" w:cs="Arial"/>
          <w:color w:val="4472C4" w:themeColor="accent1"/>
          <w:sz w:val="28"/>
          <w:szCs w:val="28"/>
        </w:rPr>
        <w:t>In attempting to prove the juridical existence of the Federation, Henri Kahn attached to his motion for reconsideration before the trial court a  copy of the constitution and by-laws of the Philippine Football Federation. Unfortunately, the same does not prove that said Federation has indeed been recognized and accredited by either the Philippine Amateur Athletic Federation or the Department of Youth and Sports Development. Accordingly, we rule that the Philippine Football Federation is not a national sports association within the purview of the aforementioned laws and does not have corporate existence of its own.</w:t>
      </w:r>
    </w:p>
    <w:p w:rsidR="001E4D6C" w:rsidRPr="001E4D6C" w:rsidRDefault="001E4D6C" w:rsidP="001E4D6C">
      <w:pPr>
        <w:spacing w:before="100" w:beforeAutospacing="1" w:after="100" w:afterAutospacing="1" w:line="276" w:lineRule="auto"/>
        <w:jc w:val="both"/>
        <w:rPr>
          <w:rFonts w:ascii="Arial" w:eastAsia="Times New Roman" w:hAnsi="Arial" w:cs="Arial"/>
          <w:color w:val="4472C4" w:themeColor="accent1"/>
          <w:sz w:val="28"/>
          <w:szCs w:val="28"/>
        </w:rPr>
      </w:pPr>
      <w:r w:rsidRPr="001E4D6C">
        <w:rPr>
          <w:rFonts w:ascii="Arial" w:eastAsia="Times New Roman" w:hAnsi="Arial" w:cs="Arial"/>
          <w:color w:val="4472C4" w:themeColor="accent1"/>
          <w:sz w:val="28"/>
          <w:szCs w:val="28"/>
        </w:rPr>
        <w:t>Thus being said, it follows that private respondent Henri Kahn should be liable for the unpaid obligations of the unincorporated Philippine Football Federation. It is a settled principle in corporation law that any person acting or purporting to act on behalf of the corporation which has no valid existence assumed such privileges and becomes personally liable for contract entered into or for other acts performed as such agent.</w:t>
      </w:r>
    </w:p>
    <w:p w:rsidR="001E4D6C" w:rsidRPr="001E4D6C" w:rsidRDefault="001E4D6C" w:rsidP="001E4D6C">
      <w:pPr>
        <w:spacing w:line="276" w:lineRule="auto"/>
        <w:jc w:val="both"/>
        <w:rPr>
          <w:rFonts w:ascii="Arial" w:eastAsia="Times New Roman" w:hAnsi="Arial" w:cs="Arial"/>
          <w:color w:val="4472C4" w:themeColor="accent1"/>
          <w:sz w:val="28"/>
          <w:szCs w:val="28"/>
        </w:rPr>
      </w:pPr>
      <w:r w:rsidRPr="001E4D6C">
        <w:rPr>
          <w:rFonts w:ascii="Arial" w:eastAsia="Times New Roman" w:hAnsi="Arial" w:cs="Arial"/>
          <w:bCs/>
          <w:color w:val="4472C4" w:themeColor="accent1"/>
          <w:sz w:val="28"/>
          <w:szCs w:val="28"/>
        </w:rPr>
        <w:t>LIM TONG LIM vs. PHILIPPINE FISHING GEAR INDUSTRIES INC.</w:t>
      </w:r>
    </w:p>
    <w:p w:rsidR="001E4D6C" w:rsidRPr="001E4D6C" w:rsidRDefault="001E4D6C" w:rsidP="001E4D6C">
      <w:pPr>
        <w:spacing w:line="276" w:lineRule="auto"/>
        <w:jc w:val="both"/>
        <w:rPr>
          <w:rFonts w:ascii="Arial" w:eastAsia="Times New Roman" w:hAnsi="Arial" w:cs="Arial"/>
          <w:color w:val="4472C4" w:themeColor="accent1"/>
          <w:sz w:val="28"/>
          <w:szCs w:val="28"/>
        </w:rPr>
      </w:pPr>
      <w:r w:rsidRPr="001E4D6C">
        <w:rPr>
          <w:rFonts w:ascii="Arial" w:eastAsia="Times New Roman" w:hAnsi="Arial" w:cs="Arial"/>
          <w:bCs/>
          <w:color w:val="4472C4" w:themeColor="accent1"/>
          <w:sz w:val="28"/>
          <w:szCs w:val="28"/>
        </w:rPr>
        <w:t>317 SCRA 728 (1999)</w:t>
      </w:r>
    </w:p>
    <w:p w:rsidR="001E4D6C" w:rsidRPr="001E4D6C" w:rsidRDefault="001E4D6C" w:rsidP="001E4D6C">
      <w:pPr>
        <w:spacing w:line="276" w:lineRule="auto"/>
        <w:jc w:val="both"/>
        <w:rPr>
          <w:rFonts w:ascii="Arial" w:eastAsia="Times New Roman" w:hAnsi="Arial" w:cs="Arial"/>
          <w:color w:val="4472C4" w:themeColor="accent1"/>
          <w:sz w:val="28"/>
          <w:szCs w:val="28"/>
        </w:rPr>
      </w:pPr>
    </w:p>
    <w:p w:rsidR="001E4D6C" w:rsidRPr="001E4D6C" w:rsidRDefault="001E4D6C" w:rsidP="001E4D6C">
      <w:pPr>
        <w:spacing w:line="276" w:lineRule="auto"/>
        <w:jc w:val="both"/>
        <w:rPr>
          <w:rFonts w:ascii="Arial" w:eastAsia="Times New Roman" w:hAnsi="Arial" w:cs="Arial"/>
          <w:color w:val="4472C4" w:themeColor="accent1"/>
          <w:sz w:val="28"/>
          <w:szCs w:val="28"/>
        </w:rPr>
      </w:pPr>
      <w:r w:rsidRPr="001E4D6C">
        <w:rPr>
          <w:rFonts w:ascii="Arial" w:eastAsia="Times New Roman" w:hAnsi="Arial" w:cs="Arial"/>
          <w:bCs/>
          <w:color w:val="4472C4" w:themeColor="accent1"/>
          <w:sz w:val="28"/>
          <w:szCs w:val="28"/>
        </w:rPr>
        <w:t>FACTS OF THE CASE</w:t>
      </w:r>
    </w:p>
    <w:p w:rsidR="001E4D6C" w:rsidRPr="001E4D6C" w:rsidRDefault="001E4D6C" w:rsidP="001E4D6C">
      <w:pPr>
        <w:spacing w:line="276" w:lineRule="auto"/>
        <w:jc w:val="both"/>
        <w:rPr>
          <w:rFonts w:ascii="Arial" w:eastAsia="Times New Roman" w:hAnsi="Arial" w:cs="Arial"/>
          <w:color w:val="4472C4" w:themeColor="accent1"/>
          <w:sz w:val="28"/>
          <w:szCs w:val="28"/>
        </w:rPr>
      </w:pPr>
      <w:r w:rsidRPr="001E4D6C">
        <w:rPr>
          <w:rFonts w:ascii="Arial" w:eastAsia="Times New Roman" w:hAnsi="Arial" w:cs="Arial"/>
          <w:color w:val="4472C4" w:themeColor="accent1"/>
          <w:sz w:val="28"/>
          <w:szCs w:val="28"/>
        </w:rPr>
        <w:t xml:space="preserve">This case is petition for review on Certiorari. On behalf of "Ocean Quest Fishing Corporation," Antonio Chua and Peter Yao entered into a Contract dated 7 February 1990, for the purchase of fishing nets of various sizes from the Philippine Fishing Gear Industries, Inc. (PFGI). They claimed that they were engaged in a business venture with Lim Tong Lim, who however was not a signatory to the agreement. The </w:t>
      </w:r>
      <w:r w:rsidRPr="001E4D6C">
        <w:rPr>
          <w:rFonts w:ascii="Arial" w:eastAsia="Times New Roman" w:hAnsi="Arial" w:cs="Arial"/>
          <w:color w:val="4472C4" w:themeColor="accent1"/>
          <w:sz w:val="28"/>
          <w:szCs w:val="28"/>
        </w:rPr>
        <w:lastRenderedPageBreak/>
        <w:t>total price of the nets amounted to P532,045. 400 pieces of floats worth P68, 000 were also sold to the Corporation.</w:t>
      </w:r>
    </w:p>
    <w:p w:rsidR="001E4D6C" w:rsidRPr="001E4D6C" w:rsidRDefault="001E4D6C" w:rsidP="001E4D6C">
      <w:pPr>
        <w:spacing w:line="276" w:lineRule="auto"/>
        <w:jc w:val="both"/>
        <w:rPr>
          <w:rFonts w:ascii="Arial" w:eastAsia="Times New Roman" w:hAnsi="Arial" w:cs="Arial"/>
          <w:color w:val="4472C4" w:themeColor="accent1"/>
          <w:sz w:val="28"/>
          <w:szCs w:val="28"/>
        </w:rPr>
      </w:pPr>
    </w:p>
    <w:p w:rsidR="001E4D6C" w:rsidRPr="001E4D6C" w:rsidRDefault="001E4D6C" w:rsidP="001E4D6C">
      <w:pPr>
        <w:spacing w:line="276" w:lineRule="auto"/>
        <w:jc w:val="both"/>
        <w:rPr>
          <w:rFonts w:ascii="Arial" w:eastAsia="Times New Roman" w:hAnsi="Arial" w:cs="Arial"/>
          <w:color w:val="4472C4" w:themeColor="accent1"/>
          <w:sz w:val="28"/>
          <w:szCs w:val="28"/>
        </w:rPr>
      </w:pPr>
      <w:r w:rsidRPr="001E4D6C">
        <w:rPr>
          <w:rFonts w:ascii="Arial" w:eastAsia="Times New Roman" w:hAnsi="Arial" w:cs="Arial"/>
          <w:color w:val="4472C4" w:themeColor="accent1"/>
          <w:sz w:val="28"/>
          <w:szCs w:val="28"/>
        </w:rPr>
        <w:t>The buyers, however, failed to pay for the fishing nets and the floats; hence, PFGI filed a collection suit against Chua, Yao and Lim Tong Lim with a prayer for a writ of preliminary attachment. The suit was brought against the three in their capacities as general partners, on the allegation that "Ocean Quest Fishing Corporation" was a nonexistent corporation as shown by a Certification from the Securities and Exchange Commission.</w:t>
      </w:r>
    </w:p>
    <w:p w:rsidR="001E4D6C" w:rsidRPr="001E4D6C" w:rsidRDefault="001E4D6C" w:rsidP="001E4D6C">
      <w:pPr>
        <w:spacing w:line="276" w:lineRule="auto"/>
        <w:jc w:val="both"/>
        <w:rPr>
          <w:rFonts w:ascii="Arial" w:eastAsia="Times New Roman" w:hAnsi="Arial" w:cs="Arial"/>
          <w:color w:val="4472C4" w:themeColor="accent1"/>
          <w:sz w:val="28"/>
          <w:szCs w:val="28"/>
        </w:rPr>
      </w:pPr>
    </w:p>
    <w:p w:rsidR="001E4D6C" w:rsidRPr="001E4D6C" w:rsidRDefault="001E4D6C" w:rsidP="001E4D6C">
      <w:pPr>
        <w:spacing w:line="276" w:lineRule="auto"/>
        <w:jc w:val="both"/>
        <w:rPr>
          <w:rFonts w:ascii="Arial" w:eastAsia="Times New Roman" w:hAnsi="Arial" w:cs="Arial"/>
          <w:color w:val="4472C4" w:themeColor="accent1"/>
          <w:sz w:val="28"/>
          <w:szCs w:val="28"/>
        </w:rPr>
      </w:pPr>
      <w:r w:rsidRPr="001E4D6C">
        <w:rPr>
          <w:rFonts w:ascii="Arial" w:eastAsia="Times New Roman" w:hAnsi="Arial" w:cs="Arial"/>
          <w:color w:val="4472C4" w:themeColor="accent1"/>
          <w:sz w:val="28"/>
          <w:szCs w:val="28"/>
        </w:rPr>
        <w:t>Instead of answering the Complaint, Chua filed a Manifestation admitting his liability and requesting a reasonable time within which to pay. He also turned over to PFGI some of the nets which were in his possession. Peter Yao filed an Answer, after which he was deemed to have waived his right to cross-examine witnesses and to present evidence on his behalf, because of his failure to appear in subsequent hearings. Lim Tong Lim, on the other hand, filed an Answer with Counterclaim and Cross claim and moved for the lifting of the Writ of Attachment. The trial court maintained the Writ, and upon motion of PFGI, ordered the sale of the fishing nets at a public auction. PFGI won the bidding and deposited with the said court the sales proceeds of P900, 000. </w:t>
      </w:r>
    </w:p>
    <w:p w:rsidR="001E4D6C" w:rsidRPr="001E4D6C" w:rsidRDefault="001E4D6C" w:rsidP="001E4D6C">
      <w:pPr>
        <w:spacing w:line="276" w:lineRule="auto"/>
        <w:jc w:val="both"/>
        <w:rPr>
          <w:rFonts w:ascii="Arial" w:eastAsia="Times New Roman" w:hAnsi="Arial" w:cs="Arial"/>
          <w:color w:val="4472C4" w:themeColor="accent1"/>
          <w:sz w:val="28"/>
          <w:szCs w:val="28"/>
        </w:rPr>
      </w:pPr>
    </w:p>
    <w:p w:rsidR="001E4D6C" w:rsidRPr="001E4D6C" w:rsidRDefault="001E4D6C" w:rsidP="001E4D6C">
      <w:pPr>
        <w:spacing w:line="276" w:lineRule="auto"/>
        <w:jc w:val="both"/>
        <w:rPr>
          <w:rFonts w:ascii="Arial" w:eastAsia="Times New Roman" w:hAnsi="Arial" w:cs="Arial"/>
          <w:color w:val="4472C4" w:themeColor="accent1"/>
          <w:sz w:val="28"/>
          <w:szCs w:val="28"/>
        </w:rPr>
      </w:pPr>
      <w:r w:rsidRPr="001E4D6C">
        <w:rPr>
          <w:rFonts w:ascii="Arial" w:eastAsia="Times New Roman" w:hAnsi="Arial" w:cs="Arial"/>
          <w:color w:val="4472C4" w:themeColor="accent1"/>
          <w:sz w:val="28"/>
          <w:szCs w:val="28"/>
        </w:rPr>
        <w:t>On 18 November 1992, the trial court rendered its Decision, ruling in favor of PFGI and that Chua, Yao and Lim, as general partners, were jointly liable to pay PFGI. Lim appealed to the Court of Appeals (CA) which, affirmed the RTC. Hence, Lim filed the Petition for Review on Certiorari arguing that under the doctrine of corporation by estoppel, liability can be imputed only to Chua and Yao, and not to him.</w:t>
      </w:r>
    </w:p>
    <w:p w:rsidR="001E4D6C" w:rsidRPr="001E4D6C" w:rsidRDefault="001E4D6C" w:rsidP="001E4D6C">
      <w:pPr>
        <w:spacing w:line="276" w:lineRule="auto"/>
        <w:jc w:val="both"/>
        <w:rPr>
          <w:rFonts w:ascii="Arial" w:eastAsia="Times New Roman" w:hAnsi="Arial" w:cs="Arial"/>
          <w:color w:val="4472C4" w:themeColor="accent1"/>
          <w:sz w:val="28"/>
          <w:szCs w:val="28"/>
        </w:rPr>
      </w:pPr>
    </w:p>
    <w:p w:rsidR="001E4D6C" w:rsidRPr="001E4D6C" w:rsidRDefault="001E4D6C" w:rsidP="001E4D6C">
      <w:pPr>
        <w:spacing w:line="276" w:lineRule="auto"/>
        <w:jc w:val="both"/>
        <w:rPr>
          <w:rFonts w:ascii="Arial" w:eastAsia="Times New Roman" w:hAnsi="Arial" w:cs="Arial"/>
          <w:color w:val="4472C4" w:themeColor="accent1"/>
          <w:sz w:val="28"/>
          <w:szCs w:val="28"/>
        </w:rPr>
      </w:pPr>
      <w:r w:rsidRPr="001E4D6C">
        <w:rPr>
          <w:rFonts w:ascii="Arial" w:eastAsia="Times New Roman" w:hAnsi="Arial" w:cs="Arial"/>
          <w:bCs/>
          <w:color w:val="4472C4" w:themeColor="accent1"/>
          <w:sz w:val="28"/>
          <w:szCs w:val="28"/>
        </w:rPr>
        <w:lastRenderedPageBreak/>
        <w:t>ISSUE</w:t>
      </w:r>
    </w:p>
    <w:p w:rsidR="001E4D6C" w:rsidRPr="001E4D6C" w:rsidRDefault="001E4D6C" w:rsidP="001E4D6C">
      <w:pPr>
        <w:spacing w:line="276" w:lineRule="auto"/>
        <w:jc w:val="both"/>
        <w:rPr>
          <w:rFonts w:ascii="Arial" w:eastAsia="Times New Roman" w:hAnsi="Arial" w:cs="Arial"/>
          <w:color w:val="4472C4" w:themeColor="accent1"/>
          <w:sz w:val="28"/>
          <w:szCs w:val="28"/>
        </w:rPr>
      </w:pPr>
      <w:r w:rsidRPr="001E4D6C">
        <w:rPr>
          <w:rFonts w:ascii="Arial" w:eastAsia="Times New Roman" w:hAnsi="Arial" w:cs="Arial"/>
          <w:color w:val="4472C4" w:themeColor="accent1"/>
          <w:sz w:val="28"/>
          <w:szCs w:val="28"/>
        </w:rPr>
        <w:t>Whether Lim should be held jointly liable with Chua and Yao under the Doctrine of Corporation by estoppel.</w:t>
      </w:r>
    </w:p>
    <w:p w:rsidR="001E4D6C" w:rsidRPr="001E4D6C" w:rsidRDefault="001E4D6C" w:rsidP="001E4D6C">
      <w:pPr>
        <w:spacing w:line="276" w:lineRule="auto"/>
        <w:jc w:val="both"/>
        <w:rPr>
          <w:rFonts w:ascii="Arial" w:eastAsia="Times New Roman" w:hAnsi="Arial" w:cs="Arial"/>
          <w:color w:val="4472C4" w:themeColor="accent1"/>
          <w:sz w:val="28"/>
          <w:szCs w:val="28"/>
        </w:rPr>
      </w:pPr>
    </w:p>
    <w:p w:rsidR="001E4D6C" w:rsidRPr="001E4D6C" w:rsidRDefault="001E4D6C" w:rsidP="001E4D6C">
      <w:pPr>
        <w:spacing w:line="276" w:lineRule="auto"/>
        <w:jc w:val="both"/>
        <w:rPr>
          <w:rFonts w:ascii="Arial" w:eastAsia="Times New Roman" w:hAnsi="Arial" w:cs="Arial"/>
          <w:color w:val="4472C4" w:themeColor="accent1"/>
          <w:sz w:val="28"/>
          <w:szCs w:val="28"/>
        </w:rPr>
      </w:pPr>
      <w:r w:rsidRPr="001E4D6C">
        <w:rPr>
          <w:rFonts w:ascii="Arial" w:eastAsia="Times New Roman" w:hAnsi="Arial" w:cs="Arial"/>
          <w:bCs/>
          <w:color w:val="4472C4" w:themeColor="accent1"/>
          <w:sz w:val="28"/>
          <w:szCs w:val="28"/>
        </w:rPr>
        <w:t>RULING</w:t>
      </w:r>
    </w:p>
    <w:p w:rsidR="001E4D6C" w:rsidRPr="001E4D6C" w:rsidRDefault="001E4D6C" w:rsidP="001E4D6C">
      <w:pPr>
        <w:spacing w:line="276" w:lineRule="auto"/>
        <w:jc w:val="both"/>
        <w:rPr>
          <w:rFonts w:ascii="Arial" w:eastAsia="Times New Roman" w:hAnsi="Arial" w:cs="Arial"/>
          <w:color w:val="4472C4" w:themeColor="accent1"/>
          <w:sz w:val="28"/>
          <w:szCs w:val="28"/>
        </w:rPr>
      </w:pPr>
      <w:r w:rsidRPr="001E4D6C">
        <w:rPr>
          <w:rFonts w:ascii="Arial" w:eastAsia="Times New Roman" w:hAnsi="Arial" w:cs="Arial"/>
          <w:color w:val="4472C4" w:themeColor="accent1"/>
          <w:sz w:val="28"/>
          <w:szCs w:val="28"/>
        </w:rPr>
        <w:t>Yes. The Supreme Court held that although technically, it is true that petitioner did not directly act on behalf of the corporation. Still, a person who has reaped the benefits of a contract entered into by persons with whom he previously had an existing relationship is deemed to be part of said association and is covered by the scope of the doctrine of corporation by estoppel.</w:t>
      </w:r>
    </w:p>
    <w:p w:rsidR="0056031E" w:rsidRPr="001E4D6C" w:rsidRDefault="0056031E" w:rsidP="001E4D6C">
      <w:pPr>
        <w:spacing w:line="276" w:lineRule="auto"/>
        <w:rPr>
          <w:rFonts w:ascii="Arial" w:hAnsi="Arial" w:cs="Arial"/>
          <w:color w:val="4472C4" w:themeColor="accent1"/>
          <w:sz w:val="28"/>
          <w:szCs w:val="28"/>
        </w:rPr>
      </w:pPr>
    </w:p>
    <w:p w:rsidR="001E4D6C" w:rsidRPr="001E4D6C" w:rsidRDefault="001E4D6C" w:rsidP="001E4D6C">
      <w:pPr>
        <w:spacing w:line="276" w:lineRule="auto"/>
        <w:rPr>
          <w:rFonts w:ascii="Arial" w:hAnsi="Arial" w:cs="Arial"/>
          <w:color w:val="4472C4" w:themeColor="accent1"/>
          <w:sz w:val="28"/>
          <w:szCs w:val="28"/>
        </w:rPr>
      </w:pPr>
    </w:p>
    <w:p w:rsidR="001E4D6C" w:rsidRDefault="001E4D6C" w:rsidP="001E4D6C">
      <w:pPr>
        <w:spacing w:line="276" w:lineRule="auto"/>
        <w:rPr>
          <w:rFonts w:ascii="Arial" w:hAnsi="Arial" w:cs="Arial"/>
          <w:color w:val="4472C4" w:themeColor="accent1"/>
          <w:sz w:val="28"/>
          <w:szCs w:val="28"/>
        </w:rPr>
      </w:pPr>
    </w:p>
    <w:p w:rsidR="001E4D6C" w:rsidRDefault="001E4D6C" w:rsidP="001E4D6C">
      <w:pPr>
        <w:spacing w:line="276" w:lineRule="auto"/>
        <w:rPr>
          <w:rFonts w:ascii="Arial" w:hAnsi="Arial" w:cs="Arial"/>
          <w:color w:val="4472C4" w:themeColor="accent1"/>
          <w:sz w:val="28"/>
          <w:szCs w:val="28"/>
        </w:rPr>
      </w:pPr>
    </w:p>
    <w:p w:rsidR="001E4D6C" w:rsidRDefault="001E4D6C" w:rsidP="001E4D6C">
      <w:pPr>
        <w:spacing w:line="276" w:lineRule="auto"/>
        <w:rPr>
          <w:rFonts w:ascii="Arial" w:hAnsi="Arial" w:cs="Arial"/>
          <w:color w:val="4472C4" w:themeColor="accent1"/>
          <w:sz w:val="28"/>
          <w:szCs w:val="28"/>
        </w:rPr>
      </w:pPr>
    </w:p>
    <w:p w:rsidR="001E4D6C" w:rsidRDefault="001E4D6C" w:rsidP="001E4D6C">
      <w:pPr>
        <w:spacing w:line="276" w:lineRule="auto"/>
        <w:rPr>
          <w:rFonts w:ascii="Arial" w:hAnsi="Arial" w:cs="Arial"/>
          <w:color w:val="4472C4" w:themeColor="accent1"/>
          <w:sz w:val="28"/>
          <w:szCs w:val="28"/>
        </w:rPr>
      </w:pPr>
    </w:p>
    <w:p w:rsidR="001E4D6C" w:rsidRDefault="001E4D6C" w:rsidP="001E4D6C">
      <w:pPr>
        <w:spacing w:line="276" w:lineRule="auto"/>
        <w:rPr>
          <w:rFonts w:ascii="Arial" w:hAnsi="Arial" w:cs="Arial"/>
          <w:color w:val="4472C4" w:themeColor="accent1"/>
          <w:sz w:val="28"/>
          <w:szCs w:val="28"/>
        </w:rPr>
      </w:pPr>
    </w:p>
    <w:p w:rsidR="001E4D6C" w:rsidRPr="001E4D6C" w:rsidRDefault="001E4D6C" w:rsidP="001E4D6C">
      <w:pPr>
        <w:spacing w:line="276" w:lineRule="auto"/>
        <w:rPr>
          <w:rFonts w:ascii="Arial" w:hAnsi="Arial" w:cs="Arial"/>
          <w:color w:val="4472C4" w:themeColor="accent1"/>
          <w:sz w:val="28"/>
          <w:szCs w:val="28"/>
        </w:rPr>
      </w:pPr>
      <w:bookmarkStart w:id="0" w:name="_GoBack"/>
      <w:bookmarkEnd w:id="0"/>
      <w:r w:rsidRPr="001E4D6C">
        <w:rPr>
          <w:rFonts w:ascii="Arial" w:hAnsi="Arial" w:cs="Arial"/>
          <w:color w:val="4472C4" w:themeColor="accent1"/>
          <w:sz w:val="28"/>
          <w:szCs w:val="28"/>
        </w:rPr>
        <w:t xml:space="preserve">Lyceum of the </w:t>
      </w:r>
      <w:proofErr w:type="spellStart"/>
      <w:r w:rsidRPr="001E4D6C">
        <w:rPr>
          <w:rFonts w:ascii="Arial" w:hAnsi="Arial" w:cs="Arial"/>
          <w:color w:val="4472C4" w:themeColor="accent1"/>
          <w:sz w:val="28"/>
          <w:szCs w:val="28"/>
        </w:rPr>
        <w:t>Phils</w:t>
      </w:r>
      <w:proofErr w:type="spellEnd"/>
      <w:r w:rsidRPr="001E4D6C">
        <w:rPr>
          <w:rFonts w:ascii="Arial" w:hAnsi="Arial" w:cs="Arial"/>
          <w:color w:val="4472C4" w:themeColor="accent1"/>
          <w:sz w:val="28"/>
          <w:szCs w:val="28"/>
        </w:rPr>
        <w:t xml:space="preserve"> vs CA GR No. 101897</w:t>
      </w:r>
    </w:p>
    <w:p w:rsidR="001E4D6C" w:rsidRPr="001E4D6C" w:rsidRDefault="001E4D6C" w:rsidP="001E4D6C">
      <w:pPr>
        <w:spacing w:line="276" w:lineRule="auto"/>
        <w:jc w:val="both"/>
        <w:rPr>
          <w:rFonts w:ascii="Arial" w:eastAsia="Times New Roman" w:hAnsi="Arial" w:cs="Arial"/>
          <w:color w:val="4472C4" w:themeColor="accent1"/>
          <w:sz w:val="28"/>
          <w:szCs w:val="28"/>
        </w:rPr>
      </w:pPr>
      <w:r w:rsidRPr="001E4D6C">
        <w:rPr>
          <w:rFonts w:ascii="Arial" w:eastAsia="Times New Roman" w:hAnsi="Arial" w:cs="Arial"/>
          <w:bCs/>
          <w:color w:val="4472C4" w:themeColor="accent1"/>
          <w:sz w:val="28"/>
          <w:szCs w:val="28"/>
        </w:rPr>
        <w:t>Facts:</w:t>
      </w:r>
    </w:p>
    <w:p w:rsidR="001E4D6C" w:rsidRPr="001E4D6C" w:rsidRDefault="001E4D6C" w:rsidP="001E4D6C">
      <w:pPr>
        <w:numPr>
          <w:ilvl w:val="0"/>
          <w:numId w:val="1"/>
        </w:numPr>
        <w:spacing w:line="276" w:lineRule="auto"/>
        <w:ind w:left="525"/>
        <w:rPr>
          <w:rFonts w:ascii="Arial" w:eastAsia="Times New Roman" w:hAnsi="Arial" w:cs="Arial"/>
          <w:color w:val="4472C4" w:themeColor="accent1"/>
          <w:sz w:val="28"/>
          <w:szCs w:val="28"/>
        </w:rPr>
      </w:pPr>
      <w:r w:rsidRPr="001E4D6C">
        <w:rPr>
          <w:rFonts w:ascii="Arial" w:eastAsia="Times New Roman" w:hAnsi="Arial" w:cs="Arial"/>
          <w:color w:val="4472C4" w:themeColor="accent1"/>
          <w:sz w:val="28"/>
          <w:szCs w:val="28"/>
        </w:rPr>
        <w:t>Lyceum of the Philippines, Inc. is an educational institution duly registered with Securities and Exchange Commission since 1950. (Sept)</w:t>
      </w:r>
    </w:p>
    <w:p w:rsidR="001E4D6C" w:rsidRPr="001E4D6C" w:rsidRDefault="001E4D6C" w:rsidP="001E4D6C">
      <w:pPr>
        <w:numPr>
          <w:ilvl w:val="0"/>
          <w:numId w:val="1"/>
        </w:numPr>
        <w:spacing w:line="276" w:lineRule="auto"/>
        <w:ind w:left="525"/>
        <w:rPr>
          <w:rFonts w:ascii="Arial" w:eastAsia="Times New Roman" w:hAnsi="Arial" w:cs="Arial"/>
          <w:color w:val="4472C4" w:themeColor="accent1"/>
          <w:sz w:val="28"/>
          <w:szCs w:val="28"/>
        </w:rPr>
      </w:pPr>
      <w:r w:rsidRPr="001E4D6C">
        <w:rPr>
          <w:rFonts w:ascii="Arial" w:eastAsia="Times New Roman" w:hAnsi="Arial" w:cs="Arial"/>
          <w:color w:val="4472C4" w:themeColor="accent1"/>
          <w:sz w:val="28"/>
          <w:szCs w:val="28"/>
        </w:rPr>
        <w:t>In 1984, it instituted proceedings before SEC to compel several education institutions to delete the word “Lyceum” from their corporate names and to permanently enjoin them from using the said word.</w:t>
      </w:r>
    </w:p>
    <w:p w:rsidR="001E4D6C" w:rsidRPr="001E4D6C" w:rsidRDefault="001E4D6C" w:rsidP="001E4D6C">
      <w:pPr>
        <w:numPr>
          <w:ilvl w:val="0"/>
          <w:numId w:val="1"/>
        </w:numPr>
        <w:spacing w:line="276" w:lineRule="auto"/>
        <w:ind w:left="525"/>
        <w:rPr>
          <w:rFonts w:ascii="Arial" w:eastAsia="Times New Roman" w:hAnsi="Arial" w:cs="Arial"/>
          <w:color w:val="4472C4" w:themeColor="accent1"/>
          <w:sz w:val="28"/>
          <w:szCs w:val="28"/>
        </w:rPr>
      </w:pPr>
      <w:r w:rsidRPr="001E4D6C">
        <w:rPr>
          <w:rFonts w:ascii="Arial" w:eastAsia="Times New Roman" w:hAnsi="Arial" w:cs="Arial"/>
          <w:color w:val="4472C4" w:themeColor="accent1"/>
          <w:sz w:val="28"/>
          <w:szCs w:val="28"/>
        </w:rPr>
        <w:t>Their action is based on a SEC Resolution wherein SEC ordered the Lyceum of Baguio to change its corporate name as it is identical to the Lyceum of the Philippines which was able to register first.</w:t>
      </w:r>
    </w:p>
    <w:p w:rsidR="001E4D6C" w:rsidRPr="001E4D6C" w:rsidRDefault="001E4D6C" w:rsidP="001E4D6C">
      <w:pPr>
        <w:numPr>
          <w:ilvl w:val="0"/>
          <w:numId w:val="1"/>
        </w:numPr>
        <w:spacing w:line="276" w:lineRule="auto"/>
        <w:ind w:left="525"/>
        <w:rPr>
          <w:rFonts w:ascii="Arial" w:eastAsia="Times New Roman" w:hAnsi="Arial" w:cs="Arial"/>
          <w:color w:val="4472C4" w:themeColor="accent1"/>
          <w:sz w:val="28"/>
          <w:szCs w:val="28"/>
        </w:rPr>
      </w:pPr>
      <w:r w:rsidRPr="001E4D6C">
        <w:rPr>
          <w:rFonts w:ascii="Arial" w:eastAsia="Times New Roman" w:hAnsi="Arial" w:cs="Arial"/>
          <w:color w:val="4472C4" w:themeColor="accent1"/>
          <w:sz w:val="28"/>
          <w:szCs w:val="28"/>
        </w:rPr>
        <w:lastRenderedPageBreak/>
        <w:t xml:space="preserve">SEC </w:t>
      </w:r>
      <w:proofErr w:type="spellStart"/>
      <w:r w:rsidRPr="001E4D6C">
        <w:rPr>
          <w:rFonts w:ascii="Arial" w:eastAsia="Times New Roman" w:hAnsi="Arial" w:cs="Arial"/>
          <w:color w:val="4472C4" w:themeColor="accent1"/>
          <w:sz w:val="28"/>
          <w:szCs w:val="28"/>
        </w:rPr>
        <w:t>En</w:t>
      </w:r>
      <w:proofErr w:type="spellEnd"/>
      <w:r w:rsidRPr="001E4D6C">
        <w:rPr>
          <w:rFonts w:ascii="Arial" w:eastAsia="Times New Roman" w:hAnsi="Arial" w:cs="Arial"/>
          <w:color w:val="4472C4" w:themeColor="accent1"/>
          <w:sz w:val="28"/>
          <w:szCs w:val="28"/>
        </w:rPr>
        <w:t xml:space="preserve"> Banc ruled that the attaching of the geographical names after the word “Lyceum” sufficiently distinguishes one from the other.</w:t>
      </w:r>
    </w:p>
    <w:p w:rsidR="001E4D6C" w:rsidRPr="001E4D6C" w:rsidRDefault="001E4D6C" w:rsidP="001E4D6C">
      <w:pPr>
        <w:numPr>
          <w:ilvl w:val="0"/>
          <w:numId w:val="1"/>
        </w:numPr>
        <w:spacing w:line="276" w:lineRule="auto"/>
        <w:ind w:left="525"/>
        <w:rPr>
          <w:rFonts w:ascii="Arial" w:eastAsia="Times New Roman" w:hAnsi="Arial" w:cs="Arial"/>
          <w:color w:val="4472C4" w:themeColor="accent1"/>
          <w:sz w:val="28"/>
          <w:szCs w:val="28"/>
        </w:rPr>
      </w:pPr>
      <w:r w:rsidRPr="001E4D6C">
        <w:rPr>
          <w:rFonts w:ascii="Arial" w:eastAsia="Times New Roman" w:hAnsi="Arial" w:cs="Arial"/>
          <w:color w:val="4472C4" w:themeColor="accent1"/>
          <w:sz w:val="28"/>
          <w:szCs w:val="28"/>
        </w:rPr>
        <w:t>However, the CA ruled otherwise.</w:t>
      </w:r>
    </w:p>
    <w:p w:rsidR="001E4D6C" w:rsidRPr="001E4D6C" w:rsidRDefault="001E4D6C" w:rsidP="001E4D6C">
      <w:pPr>
        <w:spacing w:line="276" w:lineRule="auto"/>
        <w:rPr>
          <w:rFonts w:ascii="Arial" w:eastAsia="Times New Roman" w:hAnsi="Arial" w:cs="Arial"/>
          <w:color w:val="4472C4" w:themeColor="accent1"/>
          <w:sz w:val="28"/>
          <w:szCs w:val="28"/>
        </w:rPr>
      </w:pPr>
      <w:r w:rsidRPr="001E4D6C">
        <w:rPr>
          <w:rFonts w:ascii="Arial" w:eastAsia="Times New Roman" w:hAnsi="Arial" w:cs="Arial"/>
          <w:color w:val="4472C4" w:themeColor="accent1"/>
          <w:sz w:val="28"/>
          <w:szCs w:val="28"/>
        </w:rPr>
        <w:br/>
      </w:r>
      <w:bookmarkStart w:id="1" w:name="more"/>
      <w:bookmarkEnd w:id="1"/>
    </w:p>
    <w:p w:rsidR="001E4D6C" w:rsidRPr="001E4D6C" w:rsidRDefault="001E4D6C" w:rsidP="001E4D6C">
      <w:pPr>
        <w:spacing w:line="276" w:lineRule="auto"/>
        <w:jc w:val="both"/>
        <w:rPr>
          <w:rFonts w:ascii="Arial" w:eastAsia="Times New Roman" w:hAnsi="Arial" w:cs="Arial"/>
          <w:color w:val="4472C4" w:themeColor="accent1"/>
          <w:sz w:val="28"/>
          <w:szCs w:val="28"/>
        </w:rPr>
      </w:pPr>
    </w:p>
    <w:p w:rsidR="001E4D6C" w:rsidRPr="001E4D6C" w:rsidRDefault="001E4D6C" w:rsidP="001E4D6C">
      <w:pPr>
        <w:spacing w:line="276" w:lineRule="auto"/>
        <w:jc w:val="both"/>
        <w:rPr>
          <w:rFonts w:ascii="Arial" w:eastAsia="Times New Roman" w:hAnsi="Arial" w:cs="Arial"/>
          <w:color w:val="4472C4" w:themeColor="accent1"/>
          <w:sz w:val="28"/>
          <w:szCs w:val="28"/>
        </w:rPr>
      </w:pPr>
      <w:r w:rsidRPr="001E4D6C">
        <w:rPr>
          <w:rFonts w:ascii="Arial" w:eastAsia="Times New Roman" w:hAnsi="Arial" w:cs="Arial"/>
          <w:bCs/>
          <w:color w:val="4472C4" w:themeColor="accent1"/>
          <w:sz w:val="28"/>
          <w:szCs w:val="28"/>
        </w:rPr>
        <w:t>Issue No.1</w:t>
      </w:r>
      <w:r w:rsidRPr="001E4D6C">
        <w:rPr>
          <w:rFonts w:ascii="Arial" w:eastAsia="Times New Roman" w:hAnsi="Arial" w:cs="Arial"/>
          <w:color w:val="4472C4" w:themeColor="accent1"/>
          <w:sz w:val="28"/>
          <w:szCs w:val="28"/>
        </w:rPr>
        <w:t>: WON the corporate names of the parties are identical with or deceptively similar to that of the petitioner. </w:t>
      </w:r>
      <w:r w:rsidRPr="001E4D6C">
        <w:rPr>
          <w:rFonts w:ascii="Arial" w:eastAsia="Times New Roman" w:hAnsi="Arial" w:cs="Arial"/>
          <w:bCs/>
          <w:color w:val="4472C4" w:themeColor="accent1"/>
          <w:sz w:val="28"/>
          <w:szCs w:val="28"/>
        </w:rPr>
        <w:t>NO</w:t>
      </w:r>
    </w:p>
    <w:p w:rsidR="001E4D6C" w:rsidRPr="001E4D6C" w:rsidRDefault="001E4D6C" w:rsidP="001E4D6C">
      <w:pPr>
        <w:spacing w:line="276" w:lineRule="auto"/>
        <w:jc w:val="both"/>
        <w:rPr>
          <w:rFonts w:ascii="Arial" w:eastAsia="Times New Roman" w:hAnsi="Arial" w:cs="Arial"/>
          <w:color w:val="4472C4" w:themeColor="accent1"/>
          <w:sz w:val="28"/>
          <w:szCs w:val="28"/>
        </w:rPr>
      </w:pPr>
    </w:p>
    <w:p w:rsidR="001E4D6C" w:rsidRPr="001E4D6C" w:rsidRDefault="001E4D6C" w:rsidP="001E4D6C">
      <w:pPr>
        <w:spacing w:line="276" w:lineRule="auto"/>
        <w:jc w:val="both"/>
        <w:rPr>
          <w:rFonts w:ascii="Arial" w:eastAsia="Times New Roman" w:hAnsi="Arial" w:cs="Arial"/>
          <w:color w:val="4472C4" w:themeColor="accent1"/>
          <w:sz w:val="28"/>
          <w:szCs w:val="28"/>
        </w:rPr>
      </w:pPr>
      <w:r w:rsidRPr="001E4D6C">
        <w:rPr>
          <w:rFonts w:ascii="Arial" w:eastAsia="Times New Roman" w:hAnsi="Arial" w:cs="Arial"/>
          <w:bCs/>
          <w:color w:val="4472C4" w:themeColor="accent1"/>
          <w:sz w:val="28"/>
          <w:szCs w:val="28"/>
        </w:rPr>
        <w:t>Held: </w:t>
      </w:r>
      <w:r w:rsidRPr="001E4D6C">
        <w:rPr>
          <w:rFonts w:ascii="Arial" w:eastAsia="Times New Roman" w:hAnsi="Arial" w:cs="Arial"/>
          <w:color w:val="4472C4" w:themeColor="accent1"/>
          <w:sz w:val="28"/>
          <w:szCs w:val="28"/>
        </w:rPr>
        <w:t>The corporate names of the parties carry the word “Lyceum” but confusion and deception are precluded by the appending of geographic names. Lyceum generally refers to a school or an institution of learning and it is natural to use this word to designate an entity which is organized and operating as an educational institution.</w:t>
      </w:r>
    </w:p>
    <w:p w:rsidR="001E4D6C" w:rsidRPr="001E4D6C" w:rsidRDefault="001E4D6C" w:rsidP="001E4D6C">
      <w:pPr>
        <w:spacing w:line="276" w:lineRule="auto"/>
        <w:jc w:val="both"/>
        <w:rPr>
          <w:rFonts w:ascii="Arial" w:eastAsia="Times New Roman" w:hAnsi="Arial" w:cs="Arial"/>
          <w:color w:val="4472C4" w:themeColor="accent1"/>
          <w:sz w:val="28"/>
          <w:szCs w:val="28"/>
        </w:rPr>
      </w:pPr>
    </w:p>
    <w:p w:rsidR="001E4D6C" w:rsidRPr="001E4D6C" w:rsidRDefault="001E4D6C" w:rsidP="001E4D6C">
      <w:pPr>
        <w:spacing w:line="276" w:lineRule="auto"/>
        <w:jc w:val="both"/>
        <w:rPr>
          <w:rFonts w:ascii="Arial" w:eastAsia="Times New Roman" w:hAnsi="Arial" w:cs="Arial"/>
          <w:color w:val="4472C4" w:themeColor="accent1"/>
          <w:sz w:val="28"/>
          <w:szCs w:val="28"/>
        </w:rPr>
      </w:pPr>
      <w:r w:rsidRPr="001E4D6C">
        <w:rPr>
          <w:rFonts w:ascii="Arial" w:eastAsia="Times New Roman" w:hAnsi="Arial" w:cs="Arial"/>
          <w:color w:val="4472C4" w:themeColor="accent1"/>
          <w:sz w:val="28"/>
          <w:szCs w:val="28"/>
        </w:rPr>
        <w:t xml:space="preserve">Thus, we do not believe that the "Lyceum of </w:t>
      </w:r>
      <w:proofErr w:type="spellStart"/>
      <w:r w:rsidRPr="001E4D6C">
        <w:rPr>
          <w:rFonts w:ascii="Arial" w:eastAsia="Times New Roman" w:hAnsi="Arial" w:cs="Arial"/>
          <w:color w:val="4472C4" w:themeColor="accent1"/>
          <w:sz w:val="28"/>
          <w:szCs w:val="28"/>
        </w:rPr>
        <w:t>Aparri</w:t>
      </w:r>
      <w:proofErr w:type="spellEnd"/>
      <w:r w:rsidRPr="001E4D6C">
        <w:rPr>
          <w:rFonts w:ascii="Arial" w:eastAsia="Times New Roman" w:hAnsi="Arial" w:cs="Arial"/>
          <w:color w:val="4472C4" w:themeColor="accent1"/>
          <w:sz w:val="28"/>
          <w:szCs w:val="28"/>
        </w:rPr>
        <w:t xml:space="preserve">" can be mistaken by the general public for the Lyceum of the Philippines, or that the "Lyceum of </w:t>
      </w:r>
      <w:proofErr w:type="spellStart"/>
      <w:r w:rsidRPr="001E4D6C">
        <w:rPr>
          <w:rFonts w:ascii="Arial" w:eastAsia="Times New Roman" w:hAnsi="Arial" w:cs="Arial"/>
          <w:color w:val="4472C4" w:themeColor="accent1"/>
          <w:sz w:val="28"/>
          <w:szCs w:val="28"/>
        </w:rPr>
        <w:t>Camalaniugan</w:t>
      </w:r>
      <w:proofErr w:type="spellEnd"/>
      <w:r w:rsidRPr="001E4D6C">
        <w:rPr>
          <w:rFonts w:ascii="Arial" w:eastAsia="Times New Roman" w:hAnsi="Arial" w:cs="Arial"/>
          <w:color w:val="4472C4" w:themeColor="accent1"/>
          <w:sz w:val="28"/>
          <w:szCs w:val="28"/>
        </w:rPr>
        <w:t>" would be confused with the Lyceum of the Philippines.</w:t>
      </w:r>
    </w:p>
    <w:p w:rsidR="001E4D6C" w:rsidRPr="001E4D6C" w:rsidRDefault="001E4D6C" w:rsidP="001E4D6C">
      <w:pPr>
        <w:spacing w:line="276" w:lineRule="auto"/>
        <w:jc w:val="both"/>
        <w:rPr>
          <w:rFonts w:ascii="Arial" w:eastAsia="Times New Roman" w:hAnsi="Arial" w:cs="Arial"/>
          <w:color w:val="4472C4" w:themeColor="accent1"/>
          <w:sz w:val="28"/>
          <w:szCs w:val="28"/>
        </w:rPr>
      </w:pPr>
    </w:p>
    <w:p w:rsidR="001E4D6C" w:rsidRPr="001E4D6C" w:rsidRDefault="001E4D6C" w:rsidP="001E4D6C">
      <w:pPr>
        <w:spacing w:line="276" w:lineRule="auto"/>
        <w:jc w:val="both"/>
        <w:rPr>
          <w:rFonts w:ascii="Arial" w:eastAsia="Times New Roman" w:hAnsi="Arial" w:cs="Arial"/>
          <w:color w:val="4472C4" w:themeColor="accent1"/>
          <w:sz w:val="28"/>
          <w:szCs w:val="28"/>
        </w:rPr>
      </w:pPr>
      <w:r w:rsidRPr="001E4D6C">
        <w:rPr>
          <w:rFonts w:ascii="Arial" w:eastAsia="Times New Roman" w:hAnsi="Arial" w:cs="Arial"/>
          <w:bCs/>
          <w:color w:val="4472C4" w:themeColor="accent1"/>
          <w:sz w:val="28"/>
          <w:szCs w:val="28"/>
        </w:rPr>
        <w:t>Issue No. 2: </w:t>
      </w:r>
      <w:r w:rsidRPr="001E4D6C">
        <w:rPr>
          <w:rFonts w:ascii="Arial" w:eastAsia="Times New Roman" w:hAnsi="Arial" w:cs="Arial"/>
          <w:color w:val="4472C4" w:themeColor="accent1"/>
          <w:sz w:val="28"/>
          <w:szCs w:val="28"/>
        </w:rPr>
        <w:t>WON the use by the Lyceum of the Philippines of the word Lyceum in its corporate name has been for such length of time and with such exclusivity as to have become associated or identified with the petitioner institution in the mind of the general public. (Doctrine of Secondary meaning). </w:t>
      </w:r>
      <w:r w:rsidRPr="001E4D6C">
        <w:rPr>
          <w:rFonts w:ascii="Arial" w:eastAsia="Times New Roman" w:hAnsi="Arial" w:cs="Arial"/>
          <w:bCs/>
          <w:color w:val="4472C4" w:themeColor="accent1"/>
          <w:sz w:val="28"/>
          <w:szCs w:val="28"/>
        </w:rPr>
        <w:t>NO</w:t>
      </w:r>
    </w:p>
    <w:p w:rsidR="001E4D6C" w:rsidRPr="001E4D6C" w:rsidRDefault="001E4D6C" w:rsidP="001E4D6C">
      <w:pPr>
        <w:spacing w:line="276" w:lineRule="auto"/>
        <w:jc w:val="both"/>
        <w:rPr>
          <w:rFonts w:ascii="Arial" w:eastAsia="Times New Roman" w:hAnsi="Arial" w:cs="Arial"/>
          <w:color w:val="4472C4" w:themeColor="accent1"/>
          <w:sz w:val="28"/>
          <w:szCs w:val="28"/>
        </w:rPr>
      </w:pPr>
    </w:p>
    <w:p w:rsidR="001E4D6C" w:rsidRPr="001E4D6C" w:rsidRDefault="001E4D6C" w:rsidP="001E4D6C">
      <w:pPr>
        <w:spacing w:line="276" w:lineRule="auto"/>
        <w:jc w:val="both"/>
        <w:rPr>
          <w:rFonts w:ascii="Arial" w:eastAsia="Times New Roman" w:hAnsi="Arial" w:cs="Arial"/>
          <w:color w:val="4472C4" w:themeColor="accent1"/>
          <w:sz w:val="28"/>
          <w:szCs w:val="28"/>
        </w:rPr>
      </w:pPr>
      <w:r w:rsidRPr="001E4D6C">
        <w:rPr>
          <w:rFonts w:ascii="Arial" w:eastAsia="Times New Roman" w:hAnsi="Arial" w:cs="Arial"/>
          <w:bCs/>
          <w:color w:val="4472C4" w:themeColor="accent1"/>
          <w:sz w:val="28"/>
          <w:szCs w:val="28"/>
        </w:rPr>
        <w:t>Held:</w:t>
      </w:r>
      <w:r w:rsidRPr="001E4D6C">
        <w:rPr>
          <w:rFonts w:ascii="Arial" w:eastAsia="Times New Roman" w:hAnsi="Arial" w:cs="Arial"/>
          <w:color w:val="4472C4" w:themeColor="accent1"/>
          <w:sz w:val="28"/>
          <w:szCs w:val="28"/>
        </w:rPr>
        <w:t xml:space="preserve"> Doctrine of Secondary meaning is a word of phrase originally incapable of exclusive appropriation, might nevertheless have been used so long and so exclusively by one producer with reference to his </w:t>
      </w:r>
      <w:r w:rsidRPr="001E4D6C">
        <w:rPr>
          <w:rFonts w:ascii="Arial" w:eastAsia="Times New Roman" w:hAnsi="Arial" w:cs="Arial"/>
          <w:color w:val="4472C4" w:themeColor="accent1"/>
          <w:sz w:val="28"/>
          <w:szCs w:val="28"/>
        </w:rPr>
        <w:lastRenderedPageBreak/>
        <w:t>article that, in trade and to that branch of the purchasing public, the word or phrase has come to mean that the article was his product.</w:t>
      </w:r>
    </w:p>
    <w:p w:rsidR="001E4D6C" w:rsidRPr="001E4D6C" w:rsidRDefault="001E4D6C" w:rsidP="001E4D6C">
      <w:pPr>
        <w:spacing w:line="276" w:lineRule="auto"/>
        <w:jc w:val="both"/>
        <w:rPr>
          <w:rFonts w:ascii="Arial" w:eastAsia="Times New Roman" w:hAnsi="Arial" w:cs="Arial"/>
          <w:color w:val="4472C4" w:themeColor="accent1"/>
          <w:sz w:val="28"/>
          <w:szCs w:val="28"/>
        </w:rPr>
      </w:pPr>
    </w:p>
    <w:p w:rsidR="001E4D6C" w:rsidRPr="001E4D6C" w:rsidRDefault="001E4D6C" w:rsidP="001E4D6C">
      <w:pPr>
        <w:spacing w:line="276" w:lineRule="auto"/>
        <w:jc w:val="both"/>
        <w:rPr>
          <w:rFonts w:ascii="Arial" w:eastAsia="Times New Roman" w:hAnsi="Arial" w:cs="Arial"/>
          <w:color w:val="4472C4" w:themeColor="accent1"/>
          <w:sz w:val="28"/>
          <w:szCs w:val="28"/>
        </w:rPr>
      </w:pPr>
      <w:r w:rsidRPr="001E4D6C">
        <w:rPr>
          <w:rFonts w:ascii="Arial" w:eastAsia="Times New Roman" w:hAnsi="Arial" w:cs="Arial"/>
          <w:color w:val="4472C4" w:themeColor="accent1"/>
          <w:sz w:val="28"/>
          <w:szCs w:val="28"/>
        </w:rPr>
        <w:t xml:space="preserve">Lyceum of the Philippines has not gained exclusive use of “Lyceum” by long passage of time. The number alone of the private respondents suggests strongly that the use of Lyceum has not been attended with the exclusivity essential for the applicability of the doctrine. It may be noted that one of the respondents – Western </w:t>
      </w:r>
      <w:proofErr w:type="spellStart"/>
      <w:r w:rsidRPr="001E4D6C">
        <w:rPr>
          <w:rFonts w:ascii="Arial" w:eastAsia="Times New Roman" w:hAnsi="Arial" w:cs="Arial"/>
          <w:color w:val="4472C4" w:themeColor="accent1"/>
          <w:sz w:val="28"/>
          <w:szCs w:val="28"/>
        </w:rPr>
        <w:t>Pangasinan</w:t>
      </w:r>
      <w:proofErr w:type="spellEnd"/>
      <w:r w:rsidRPr="001E4D6C">
        <w:rPr>
          <w:rFonts w:ascii="Arial" w:eastAsia="Times New Roman" w:hAnsi="Arial" w:cs="Arial"/>
          <w:color w:val="4472C4" w:themeColor="accent1"/>
          <w:sz w:val="28"/>
          <w:szCs w:val="28"/>
        </w:rPr>
        <w:t xml:space="preserve"> Lyceum used such term 17 years before the petitioner registered with the SEC. Moreover, there may be other schools using the name but not registered with the SEC because they have not adopted the corporate form of organization.</w:t>
      </w:r>
    </w:p>
    <w:p w:rsidR="001E4D6C" w:rsidRPr="001E4D6C" w:rsidRDefault="001E4D6C" w:rsidP="001E4D6C">
      <w:pPr>
        <w:spacing w:line="276" w:lineRule="auto"/>
        <w:jc w:val="both"/>
        <w:rPr>
          <w:rFonts w:ascii="Arial" w:eastAsia="Times New Roman" w:hAnsi="Arial" w:cs="Arial"/>
          <w:color w:val="4472C4" w:themeColor="accent1"/>
          <w:sz w:val="28"/>
          <w:szCs w:val="28"/>
        </w:rPr>
      </w:pPr>
    </w:p>
    <w:p w:rsidR="001E4D6C" w:rsidRPr="001E4D6C" w:rsidRDefault="001E4D6C" w:rsidP="001E4D6C">
      <w:pPr>
        <w:spacing w:line="276" w:lineRule="auto"/>
        <w:jc w:val="both"/>
        <w:rPr>
          <w:rFonts w:ascii="Arial" w:eastAsia="Times New Roman" w:hAnsi="Arial" w:cs="Arial"/>
          <w:color w:val="4472C4" w:themeColor="accent1"/>
          <w:sz w:val="28"/>
          <w:szCs w:val="28"/>
        </w:rPr>
      </w:pPr>
      <w:r w:rsidRPr="001E4D6C">
        <w:rPr>
          <w:rFonts w:ascii="Arial" w:eastAsia="Times New Roman" w:hAnsi="Arial" w:cs="Arial"/>
          <w:bCs/>
          <w:color w:val="4472C4" w:themeColor="accent1"/>
          <w:sz w:val="28"/>
          <w:szCs w:val="28"/>
        </w:rPr>
        <w:t>DOCTRINE:</w:t>
      </w:r>
    </w:p>
    <w:p w:rsidR="001E4D6C" w:rsidRPr="001E4D6C" w:rsidRDefault="001E4D6C" w:rsidP="001E4D6C">
      <w:pPr>
        <w:spacing w:line="276" w:lineRule="auto"/>
        <w:jc w:val="both"/>
        <w:rPr>
          <w:rFonts w:ascii="Arial" w:eastAsia="Times New Roman" w:hAnsi="Arial" w:cs="Arial"/>
          <w:color w:val="4472C4" w:themeColor="accent1"/>
          <w:sz w:val="28"/>
          <w:szCs w:val="28"/>
        </w:rPr>
      </w:pPr>
      <w:r w:rsidRPr="001E4D6C">
        <w:rPr>
          <w:rFonts w:ascii="Arial" w:eastAsia="Times New Roman" w:hAnsi="Arial" w:cs="Arial"/>
          <w:color w:val="4472C4" w:themeColor="accent1"/>
          <w:sz w:val="28"/>
          <w:szCs w:val="28"/>
        </w:rPr>
        <w:t>Doctrine of secondary meaning can be extended to corporation name but must comply with the requirement that it has been used so long and so exclusively by one and that the said name has come to mean that it is referred to as that corporation.</w:t>
      </w:r>
    </w:p>
    <w:p w:rsidR="001E4D6C" w:rsidRPr="001E4D6C" w:rsidRDefault="001E4D6C" w:rsidP="001E4D6C">
      <w:pPr>
        <w:spacing w:line="276" w:lineRule="auto"/>
        <w:jc w:val="both"/>
        <w:rPr>
          <w:rFonts w:ascii="Arial" w:eastAsia="Times New Roman" w:hAnsi="Arial" w:cs="Arial"/>
          <w:color w:val="4472C4" w:themeColor="accent1"/>
          <w:sz w:val="28"/>
          <w:szCs w:val="28"/>
        </w:rPr>
      </w:pPr>
    </w:p>
    <w:p w:rsidR="001E4D6C" w:rsidRPr="001E4D6C" w:rsidRDefault="001E4D6C" w:rsidP="001E4D6C">
      <w:pPr>
        <w:spacing w:line="276" w:lineRule="auto"/>
        <w:jc w:val="both"/>
        <w:rPr>
          <w:rFonts w:ascii="Arial" w:eastAsia="Times New Roman" w:hAnsi="Arial" w:cs="Arial"/>
          <w:color w:val="4472C4" w:themeColor="accent1"/>
          <w:sz w:val="28"/>
          <w:szCs w:val="28"/>
        </w:rPr>
      </w:pPr>
      <w:r w:rsidRPr="001E4D6C">
        <w:rPr>
          <w:rFonts w:ascii="Arial" w:eastAsia="Times New Roman" w:hAnsi="Arial" w:cs="Arial"/>
          <w:color w:val="4472C4" w:themeColor="accent1"/>
          <w:sz w:val="28"/>
          <w:szCs w:val="28"/>
        </w:rPr>
        <w:t xml:space="preserve">Western </w:t>
      </w:r>
      <w:proofErr w:type="spellStart"/>
      <w:r w:rsidRPr="001E4D6C">
        <w:rPr>
          <w:rFonts w:ascii="Arial" w:eastAsia="Times New Roman" w:hAnsi="Arial" w:cs="Arial"/>
          <w:color w:val="4472C4" w:themeColor="accent1"/>
          <w:sz w:val="28"/>
          <w:szCs w:val="28"/>
        </w:rPr>
        <w:t>Pangasinan</w:t>
      </w:r>
      <w:proofErr w:type="spellEnd"/>
      <w:r w:rsidRPr="001E4D6C">
        <w:rPr>
          <w:rFonts w:ascii="Arial" w:eastAsia="Times New Roman" w:hAnsi="Arial" w:cs="Arial"/>
          <w:color w:val="4472C4" w:themeColor="accent1"/>
          <w:sz w:val="28"/>
          <w:szCs w:val="28"/>
        </w:rPr>
        <w:t xml:space="preserve"> Lyceum — 27 October 1950</w:t>
      </w:r>
    </w:p>
    <w:p w:rsidR="001E4D6C" w:rsidRPr="001E4D6C" w:rsidRDefault="001E4D6C" w:rsidP="001E4D6C">
      <w:pPr>
        <w:spacing w:line="276" w:lineRule="auto"/>
        <w:jc w:val="both"/>
        <w:rPr>
          <w:rFonts w:ascii="Arial" w:eastAsia="Times New Roman" w:hAnsi="Arial" w:cs="Arial"/>
          <w:color w:val="4472C4" w:themeColor="accent1"/>
          <w:sz w:val="28"/>
          <w:szCs w:val="28"/>
        </w:rPr>
      </w:pPr>
      <w:r w:rsidRPr="001E4D6C">
        <w:rPr>
          <w:rFonts w:ascii="Arial" w:eastAsia="Times New Roman" w:hAnsi="Arial" w:cs="Arial"/>
          <w:color w:val="4472C4" w:themeColor="accent1"/>
          <w:sz w:val="28"/>
          <w:szCs w:val="28"/>
        </w:rPr>
        <w:t xml:space="preserve">Lyceum of </w:t>
      </w:r>
      <w:proofErr w:type="spellStart"/>
      <w:r w:rsidRPr="001E4D6C">
        <w:rPr>
          <w:rFonts w:ascii="Arial" w:eastAsia="Times New Roman" w:hAnsi="Arial" w:cs="Arial"/>
          <w:color w:val="4472C4" w:themeColor="accent1"/>
          <w:sz w:val="28"/>
          <w:szCs w:val="28"/>
        </w:rPr>
        <w:t>Cabagan</w:t>
      </w:r>
      <w:proofErr w:type="spellEnd"/>
      <w:r w:rsidRPr="001E4D6C">
        <w:rPr>
          <w:rFonts w:ascii="Arial" w:eastAsia="Times New Roman" w:hAnsi="Arial" w:cs="Arial"/>
          <w:color w:val="4472C4" w:themeColor="accent1"/>
          <w:sz w:val="28"/>
          <w:szCs w:val="28"/>
        </w:rPr>
        <w:t xml:space="preserve"> — 31 October 1962</w:t>
      </w:r>
    </w:p>
    <w:p w:rsidR="001E4D6C" w:rsidRPr="001E4D6C" w:rsidRDefault="001E4D6C" w:rsidP="001E4D6C">
      <w:pPr>
        <w:spacing w:line="276" w:lineRule="auto"/>
        <w:jc w:val="both"/>
        <w:rPr>
          <w:rFonts w:ascii="Arial" w:eastAsia="Times New Roman" w:hAnsi="Arial" w:cs="Arial"/>
          <w:color w:val="4472C4" w:themeColor="accent1"/>
          <w:sz w:val="28"/>
          <w:szCs w:val="28"/>
        </w:rPr>
      </w:pPr>
      <w:r w:rsidRPr="001E4D6C">
        <w:rPr>
          <w:rFonts w:ascii="Arial" w:eastAsia="Times New Roman" w:hAnsi="Arial" w:cs="Arial"/>
          <w:color w:val="4472C4" w:themeColor="accent1"/>
          <w:sz w:val="28"/>
          <w:szCs w:val="28"/>
        </w:rPr>
        <w:t xml:space="preserve">Lyceum of </w:t>
      </w:r>
      <w:proofErr w:type="spellStart"/>
      <w:r w:rsidRPr="001E4D6C">
        <w:rPr>
          <w:rFonts w:ascii="Arial" w:eastAsia="Times New Roman" w:hAnsi="Arial" w:cs="Arial"/>
          <w:color w:val="4472C4" w:themeColor="accent1"/>
          <w:sz w:val="28"/>
          <w:szCs w:val="28"/>
        </w:rPr>
        <w:t>Lallo</w:t>
      </w:r>
      <w:proofErr w:type="spellEnd"/>
      <w:r w:rsidRPr="001E4D6C">
        <w:rPr>
          <w:rFonts w:ascii="Arial" w:eastAsia="Times New Roman" w:hAnsi="Arial" w:cs="Arial"/>
          <w:color w:val="4472C4" w:themeColor="accent1"/>
          <w:sz w:val="28"/>
          <w:szCs w:val="28"/>
        </w:rPr>
        <w:t>, Inc. — 26 March 1972</w:t>
      </w:r>
    </w:p>
    <w:p w:rsidR="001E4D6C" w:rsidRPr="001E4D6C" w:rsidRDefault="001E4D6C" w:rsidP="001E4D6C">
      <w:pPr>
        <w:spacing w:line="276" w:lineRule="auto"/>
        <w:jc w:val="both"/>
        <w:rPr>
          <w:rFonts w:ascii="Arial" w:eastAsia="Times New Roman" w:hAnsi="Arial" w:cs="Arial"/>
          <w:color w:val="4472C4" w:themeColor="accent1"/>
          <w:sz w:val="28"/>
          <w:szCs w:val="28"/>
        </w:rPr>
      </w:pPr>
      <w:r w:rsidRPr="001E4D6C">
        <w:rPr>
          <w:rFonts w:ascii="Arial" w:eastAsia="Times New Roman" w:hAnsi="Arial" w:cs="Arial"/>
          <w:color w:val="4472C4" w:themeColor="accent1"/>
          <w:sz w:val="28"/>
          <w:szCs w:val="28"/>
        </w:rPr>
        <w:t xml:space="preserve">Lyceum of </w:t>
      </w:r>
      <w:proofErr w:type="spellStart"/>
      <w:r w:rsidRPr="001E4D6C">
        <w:rPr>
          <w:rFonts w:ascii="Arial" w:eastAsia="Times New Roman" w:hAnsi="Arial" w:cs="Arial"/>
          <w:color w:val="4472C4" w:themeColor="accent1"/>
          <w:sz w:val="28"/>
          <w:szCs w:val="28"/>
        </w:rPr>
        <w:t>Aparri</w:t>
      </w:r>
      <w:proofErr w:type="spellEnd"/>
      <w:r w:rsidRPr="001E4D6C">
        <w:rPr>
          <w:rFonts w:ascii="Arial" w:eastAsia="Times New Roman" w:hAnsi="Arial" w:cs="Arial"/>
          <w:color w:val="4472C4" w:themeColor="accent1"/>
          <w:sz w:val="28"/>
          <w:szCs w:val="28"/>
        </w:rPr>
        <w:t xml:space="preserve"> — 28 March 1972</w:t>
      </w:r>
    </w:p>
    <w:p w:rsidR="001E4D6C" w:rsidRPr="001E4D6C" w:rsidRDefault="001E4D6C" w:rsidP="001E4D6C">
      <w:pPr>
        <w:spacing w:line="276" w:lineRule="auto"/>
        <w:jc w:val="both"/>
        <w:rPr>
          <w:rFonts w:ascii="Arial" w:eastAsia="Times New Roman" w:hAnsi="Arial" w:cs="Arial"/>
          <w:color w:val="4472C4" w:themeColor="accent1"/>
          <w:sz w:val="28"/>
          <w:szCs w:val="28"/>
        </w:rPr>
      </w:pPr>
      <w:r w:rsidRPr="001E4D6C">
        <w:rPr>
          <w:rFonts w:ascii="Arial" w:eastAsia="Times New Roman" w:hAnsi="Arial" w:cs="Arial"/>
          <w:color w:val="4472C4" w:themeColor="accent1"/>
          <w:sz w:val="28"/>
          <w:szCs w:val="28"/>
        </w:rPr>
        <w:t xml:space="preserve">Lyceum of </w:t>
      </w:r>
      <w:proofErr w:type="spellStart"/>
      <w:r w:rsidRPr="001E4D6C">
        <w:rPr>
          <w:rFonts w:ascii="Arial" w:eastAsia="Times New Roman" w:hAnsi="Arial" w:cs="Arial"/>
          <w:color w:val="4472C4" w:themeColor="accent1"/>
          <w:sz w:val="28"/>
          <w:szCs w:val="28"/>
        </w:rPr>
        <w:t>Tuao</w:t>
      </w:r>
      <w:proofErr w:type="spellEnd"/>
      <w:r w:rsidRPr="001E4D6C">
        <w:rPr>
          <w:rFonts w:ascii="Arial" w:eastAsia="Times New Roman" w:hAnsi="Arial" w:cs="Arial"/>
          <w:color w:val="4472C4" w:themeColor="accent1"/>
          <w:sz w:val="28"/>
          <w:szCs w:val="28"/>
        </w:rPr>
        <w:t>, Inc. — 28 March 1972</w:t>
      </w:r>
    </w:p>
    <w:p w:rsidR="001E4D6C" w:rsidRPr="001E4D6C" w:rsidRDefault="001E4D6C" w:rsidP="001E4D6C">
      <w:pPr>
        <w:spacing w:line="276" w:lineRule="auto"/>
        <w:jc w:val="both"/>
        <w:rPr>
          <w:rFonts w:ascii="Arial" w:eastAsia="Times New Roman" w:hAnsi="Arial" w:cs="Arial"/>
          <w:color w:val="4472C4" w:themeColor="accent1"/>
          <w:sz w:val="28"/>
          <w:szCs w:val="28"/>
        </w:rPr>
      </w:pPr>
      <w:r w:rsidRPr="001E4D6C">
        <w:rPr>
          <w:rFonts w:ascii="Arial" w:eastAsia="Times New Roman" w:hAnsi="Arial" w:cs="Arial"/>
          <w:color w:val="4472C4" w:themeColor="accent1"/>
          <w:sz w:val="28"/>
          <w:szCs w:val="28"/>
        </w:rPr>
        <w:t xml:space="preserve">Lyceum of </w:t>
      </w:r>
      <w:proofErr w:type="spellStart"/>
      <w:r w:rsidRPr="001E4D6C">
        <w:rPr>
          <w:rFonts w:ascii="Arial" w:eastAsia="Times New Roman" w:hAnsi="Arial" w:cs="Arial"/>
          <w:color w:val="4472C4" w:themeColor="accent1"/>
          <w:sz w:val="28"/>
          <w:szCs w:val="28"/>
        </w:rPr>
        <w:t>Camalaniugan</w:t>
      </w:r>
      <w:proofErr w:type="spellEnd"/>
      <w:r w:rsidRPr="001E4D6C">
        <w:rPr>
          <w:rFonts w:ascii="Arial" w:eastAsia="Times New Roman" w:hAnsi="Arial" w:cs="Arial"/>
          <w:color w:val="4472C4" w:themeColor="accent1"/>
          <w:sz w:val="28"/>
          <w:szCs w:val="28"/>
        </w:rPr>
        <w:t xml:space="preserve"> — 28 March 1972</w:t>
      </w:r>
    </w:p>
    <w:p w:rsidR="001E4D6C" w:rsidRPr="001E4D6C" w:rsidRDefault="001E4D6C" w:rsidP="001E4D6C">
      <w:pPr>
        <w:spacing w:line="276" w:lineRule="auto"/>
        <w:jc w:val="both"/>
        <w:rPr>
          <w:rFonts w:ascii="Arial" w:eastAsia="Times New Roman" w:hAnsi="Arial" w:cs="Arial"/>
          <w:color w:val="4472C4" w:themeColor="accent1"/>
          <w:sz w:val="28"/>
          <w:szCs w:val="28"/>
        </w:rPr>
      </w:pPr>
    </w:p>
    <w:p w:rsidR="001E4D6C" w:rsidRPr="001E4D6C" w:rsidRDefault="001E4D6C" w:rsidP="001E4D6C">
      <w:pPr>
        <w:spacing w:line="276" w:lineRule="auto"/>
        <w:jc w:val="both"/>
        <w:rPr>
          <w:rFonts w:ascii="Arial" w:eastAsia="Times New Roman" w:hAnsi="Arial" w:cs="Arial"/>
          <w:color w:val="4472C4" w:themeColor="accent1"/>
          <w:sz w:val="28"/>
          <w:szCs w:val="28"/>
        </w:rPr>
      </w:pPr>
      <w:r w:rsidRPr="001E4D6C">
        <w:rPr>
          <w:rFonts w:ascii="Arial" w:eastAsia="Times New Roman" w:hAnsi="Arial" w:cs="Arial"/>
          <w:color w:val="4472C4" w:themeColor="accent1"/>
          <w:sz w:val="28"/>
          <w:szCs w:val="28"/>
        </w:rPr>
        <w:t xml:space="preserve">Etymologically, the word "Lyceum" is the Latin word for the Greek </w:t>
      </w:r>
      <w:proofErr w:type="spellStart"/>
      <w:r w:rsidRPr="001E4D6C">
        <w:rPr>
          <w:rFonts w:ascii="Arial" w:eastAsia="Times New Roman" w:hAnsi="Arial" w:cs="Arial"/>
          <w:color w:val="4472C4" w:themeColor="accent1"/>
          <w:sz w:val="28"/>
          <w:szCs w:val="28"/>
        </w:rPr>
        <w:t>lykeion</w:t>
      </w:r>
      <w:proofErr w:type="spellEnd"/>
      <w:r w:rsidRPr="001E4D6C">
        <w:rPr>
          <w:rFonts w:ascii="Arial" w:eastAsia="Times New Roman" w:hAnsi="Arial" w:cs="Arial"/>
          <w:color w:val="4472C4" w:themeColor="accent1"/>
          <w:sz w:val="28"/>
          <w:szCs w:val="28"/>
        </w:rPr>
        <w:t xml:space="preserve"> which in turn referred to a locality on the river </w:t>
      </w:r>
      <w:proofErr w:type="spellStart"/>
      <w:r w:rsidRPr="001E4D6C">
        <w:rPr>
          <w:rFonts w:ascii="Arial" w:eastAsia="Times New Roman" w:hAnsi="Arial" w:cs="Arial"/>
          <w:color w:val="4472C4" w:themeColor="accent1"/>
          <w:sz w:val="28"/>
          <w:szCs w:val="28"/>
        </w:rPr>
        <w:t>Ilissius</w:t>
      </w:r>
      <w:proofErr w:type="spellEnd"/>
      <w:r w:rsidRPr="001E4D6C">
        <w:rPr>
          <w:rFonts w:ascii="Arial" w:eastAsia="Times New Roman" w:hAnsi="Arial" w:cs="Arial"/>
          <w:color w:val="4472C4" w:themeColor="accent1"/>
          <w:sz w:val="28"/>
          <w:szCs w:val="28"/>
        </w:rPr>
        <w:t xml:space="preserve"> in ancient Athens "comprising an enclosure dedicated to Apollo and adorned with fountains and buildings erected by Pisistratus, Pericles and Lycurgus </w:t>
      </w:r>
      <w:r w:rsidRPr="001E4D6C">
        <w:rPr>
          <w:rFonts w:ascii="Arial" w:eastAsia="Times New Roman" w:hAnsi="Arial" w:cs="Arial"/>
          <w:color w:val="4472C4" w:themeColor="accent1"/>
          <w:sz w:val="28"/>
          <w:szCs w:val="28"/>
        </w:rPr>
        <w:lastRenderedPageBreak/>
        <w:t>frequented by the youth for exercise and by the philosopher Aristotle and his followers for teaching."</w:t>
      </w:r>
    </w:p>
    <w:p w:rsidR="001E4D6C" w:rsidRPr="001E4D6C" w:rsidRDefault="001E4D6C" w:rsidP="001E4D6C">
      <w:pPr>
        <w:spacing w:line="276" w:lineRule="auto"/>
        <w:jc w:val="both"/>
        <w:rPr>
          <w:rFonts w:ascii="Arial" w:eastAsia="Times New Roman" w:hAnsi="Arial" w:cs="Arial"/>
          <w:color w:val="4472C4" w:themeColor="accent1"/>
          <w:sz w:val="28"/>
          <w:szCs w:val="28"/>
        </w:rPr>
      </w:pPr>
    </w:p>
    <w:p w:rsidR="001E4D6C" w:rsidRPr="001E4D6C" w:rsidRDefault="001E4D6C" w:rsidP="001E4D6C">
      <w:pPr>
        <w:spacing w:line="276" w:lineRule="auto"/>
        <w:jc w:val="both"/>
        <w:rPr>
          <w:rFonts w:ascii="Arial" w:eastAsia="Times New Roman" w:hAnsi="Arial" w:cs="Arial"/>
          <w:color w:val="4472C4" w:themeColor="accent1"/>
          <w:sz w:val="28"/>
          <w:szCs w:val="28"/>
        </w:rPr>
      </w:pPr>
      <w:r w:rsidRPr="001E4D6C">
        <w:rPr>
          <w:rFonts w:ascii="Arial" w:eastAsia="Times New Roman" w:hAnsi="Arial" w:cs="Arial"/>
          <w:color w:val="4472C4" w:themeColor="accent1"/>
          <w:sz w:val="28"/>
          <w:szCs w:val="28"/>
        </w:rPr>
        <w:t>Lyceum" is in fact as generic in character as the word "university." In the name of the petitioner, "Lyceum" appears to be a substitute for "university;" in other places, however, "Lyceum," or "</w:t>
      </w:r>
      <w:proofErr w:type="spellStart"/>
      <w:r w:rsidRPr="001E4D6C">
        <w:rPr>
          <w:rFonts w:ascii="Arial" w:eastAsia="Times New Roman" w:hAnsi="Arial" w:cs="Arial"/>
          <w:color w:val="4472C4" w:themeColor="accent1"/>
          <w:sz w:val="28"/>
          <w:szCs w:val="28"/>
        </w:rPr>
        <w:t>Liceo</w:t>
      </w:r>
      <w:proofErr w:type="spellEnd"/>
      <w:r w:rsidRPr="001E4D6C">
        <w:rPr>
          <w:rFonts w:ascii="Arial" w:eastAsia="Times New Roman" w:hAnsi="Arial" w:cs="Arial"/>
          <w:color w:val="4472C4" w:themeColor="accent1"/>
          <w:sz w:val="28"/>
          <w:szCs w:val="28"/>
        </w:rPr>
        <w:t>" or "</w:t>
      </w:r>
      <w:proofErr w:type="spellStart"/>
      <w:r w:rsidRPr="001E4D6C">
        <w:rPr>
          <w:rFonts w:ascii="Arial" w:eastAsia="Times New Roman" w:hAnsi="Arial" w:cs="Arial"/>
          <w:color w:val="4472C4" w:themeColor="accent1"/>
          <w:sz w:val="28"/>
          <w:szCs w:val="28"/>
        </w:rPr>
        <w:t>Lycee</w:t>
      </w:r>
      <w:proofErr w:type="spellEnd"/>
      <w:r w:rsidRPr="001E4D6C">
        <w:rPr>
          <w:rFonts w:ascii="Arial" w:eastAsia="Times New Roman" w:hAnsi="Arial" w:cs="Arial"/>
          <w:color w:val="4472C4" w:themeColor="accent1"/>
          <w:sz w:val="28"/>
          <w:szCs w:val="28"/>
        </w:rPr>
        <w:t>" frequently denotes a secondary school or a college.</w:t>
      </w:r>
    </w:p>
    <w:p w:rsidR="001E4D6C" w:rsidRPr="001E4D6C" w:rsidRDefault="001E4D6C" w:rsidP="001E4D6C">
      <w:pPr>
        <w:spacing w:line="276" w:lineRule="auto"/>
        <w:rPr>
          <w:rFonts w:ascii="Arial" w:hAnsi="Arial" w:cs="Arial"/>
          <w:color w:val="4472C4" w:themeColor="accent1"/>
          <w:sz w:val="28"/>
          <w:szCs w:val="28"/>
        </w:rPr>
      </w:pPr>
    </w:p>
    <w:p w:rsidR="001E4D6C" w:rsidRDefault="001E4D6C" w:rsidP="001E4D6C">
      <w:pPr>
        <w:spacing w:line="276" w:lineRule="auto"/>
        <w:jc w:val="center"/>
        <w:rPr>
          <w:rFonts w:ascii="Arial" w:eastAsia="Times New Roman" w:hAnsi="Arial" w:cs="Arial"/>
          <w:color w:val="4472C4" w:themeColor="accent1"/>
          <w:sz w:val="28"/>
          <w:szCs w:val="28"/>
        </w:rPr>
      </w:pPr>
    </w:p>
    <w:p w:rsidR="001E4D6C" w:rsidRPr="001E4D6C" w:rsidRDefault="001E4D6C" w:rsidP="001E4D6C">
      <w:pPr>
        <w:spacing w:line="276" w:lineRule="auto"/>
        <w:jc w:val="center"/>
        <w:rPr>
          <w:rFonts w:ascii="Arial" w:eastAsia="Times New Roman" w:hAnsi="Arial" w:cs="Arial"/>
          <w:color w:val="4472C4" w:themeColor="accent1"/>
          <w:sz w:val="28"/>
          <w:szCs w:val="28"/>
        </w:rPr>
      </w:pPr>
      <w:r w:rsidRPr="001E4D6C">
        <w:rPr>
          <w:rFonts w:ascii="Arial" w:eastAsia="Times New Roman" w:hAnsi="Arial" w:cs="Arial"/>
          <w:color w:val="4472C4" w:themeColor="accent1"/>
          <w:sz w:val="28"/>
          <w:szCs w:val="28"/>
        </w:rPr>
        <w:t>INDUSTRIAL REFRACTORIES CORPORATION OF THE PHILIPPINES vs. COURT OF APPEALS, SECURITIES AND EXCHANGE COMMISSION and REFRACTORIES CORPORATION OF THE PHILIPPINES</w:t>
      </w:r>
    </w:p>
    <w:p w:rsidR="001E4D6C" w:rsidRPr="001E4D6C" w:rsidRDefault="001E4D6C" w:rsidP="001E4D6C">
      <w:pPr>
        <w:spacing w:line="276" w:lineRule="auto"/>
        <w:rPr>
          <w:rFonts w:ascii="Arial" w:eastAsia="Times New Roman" w:hAnsi="Arial" w:cs="Arial"/>
          <w:color w:val="4472C4" w:themeColor="accent1"/>
          <w:sz w:val="28"/>
          <w:szCs w:val="28"/>
        </w:rPr>
      </w:pPr>
    </w:p>
    <w:p w:rsidR="001E4D6C" w:rsidRPr="001E4D6C" w:rsidRDefault="001E4D6C" w:rsidP="001E4D6C">
      <w:pPr>
        <w:spacing w:line="276" w:lineRule="auto"/>
        <w:jc w:val="center"/>
        <w:rPr>
          <w:rFonts w:ascii="Arial" w:eastAsia="Times New Roman" w:hAnsi="Arial" w:cs="Arial"/>
          <w:color w:val="4472C4" w:themeColor="accent1"/>
          <w:sz w:val="28"/>
          <w:szCs w:val="28"/>
        </w:rPr>
      </w:pPr>
      <w:r w:rsidRPr="001E4D6C">
        <w:rPr>
          <w:rFonts w:ascii="Arial" w:eastAsia="Times New Roman" w:hAnsi="Arial" w:cs="Arial"/>
          <w:color w:val="4472C4" w:themeColor="accent1"/>
          <w:sz w:val="28"/>
          <w:szCs w:val="28"/>
        </w:rPr>
        <w:t>G.R. No. 122174, October 3, 2002</w:t>
      </w:r>
    </w:p>
    <w:p w:rsidR="001E4D6C" w:rsidRPr="001E4D6C" w:rsidRDefault="001E4D6C" w:rsidP="001E4D6C">
      <w:pPr>
        <w:spacing w:line="276" w:lineRule="auto"/>
        <w:rPr>
          <w:rFonts w:ascii="Arial" w:eastAsia="Times New Roman" w:hAnsi="Arial" w:cs="Arial"/>
          <w:color w:val="4472C4" w:themeColor="accent1"/>
          <w:sz w:val="28"/>
          <w:szCs w:val="28"/>
        </w:rPr>
      </w:pPr>
      <w:r w:rsidRPr="001E4D6C">
        <w:rPr>
          <w:rFonts w:ascii="Arial" w:eastAsia="Times New Roman" w:hAnsi="Arial" w:cs="Arial"/>
          <w:color w:val="4472C4" w:themeColor="accent1"/>
          <w:sz w:val="28"/>
          <w:szCs w:val="28"/>
        </w:rPr>
        <w:br/>
        <w:t>Facts:</w:t>
      </w:r>
      <w:r w:rsidRPr="001E4D6C">
        <w:rPr>
          <w:rFonts w:ascii="Arial" w:eastAsia="Times New Roman" w:hAnsi="Arial" w:cs="Arial"/>
          <w:color w:val="4472C4" w:themeColor="accent1"/>
          <w:sz w:val="28"/>
          <w:szCs w:val="28"/>
        </w:rPr>
        <w:br/>
      </w:r>
      <w:r w:rsidRPr="001E4D6C">
        <w:rPr>
          <w:rFonts w:ascii="Arial" w:eastAsia="Times New Roman" w:hAnsi="Arial" w:cs="Arial"/>
          <w:color w:val="4472C4" w:themeColor="accent1"/>
          <w:sz w:val="28"/>
          <w:szCs w:val="28"/>
        </w:rPr>
        <w:br/>
        <w:t>Respondent Refractories Corporation of the Philippines (RCP) is a corporation duly organized on October 13, 1976. On June 22, 1977, it registered its corporate and business name with the Bureau of Domestic Trade.</w:t>
      </w:r>
      <w:r w:rsidRPr="001E4D6C">
        <w:rPr>
          <w:rFonts w:ascii="Arial" w:eastAsia="Times New Roman" w:hAnsi="Arial" w:cs="Arial"/>
          <w:color w:val="4472C4" w:themeColor="accent1"/>
          <w:sz w:val="28"/>
          <w:szCs w:val="28"/>
        </w:rPr>
        <w:br/>
      </w:r>
      <w:r w:rsidRPr="001E4D6C">
        <w:rPr>
          <w:rFonts w:ascii="Arial" w:eastAsia="Times New Roman" w:hAnsi="Arial" w:cs="Arial"/>
          <w:color w:val="4472C4" w:themeColor="accent1"/>
          <w:sz w:val="28"/>
          <w:szCs w:val="28"/>
        </w:rPr>
        <w:br/>
        <w:t>Petitioner IRCP was incorporated on August 23, 1979 originally under the name "</w:t>
      </w:r>
      <w:proofErr w:type="spellStart"/>
      <w:r w:rsidRPr="001E4D6C">
        <w:rPr>
          <w:rFonts w:ascii="Arial" w:eastAsia="Times New Roman" w:hAnsi="Arial" w:cs="Arial"/>
          <w:color w:val="4472C4" w:themeColor="accent1"/>
          <w:sz w:val="28"/>
          <w:szCs w:val="28"/>
        </w:rPr>
        <w:t>Synclaire</w:t>
      </w:r>
      <w:proofErr w:type="spellEnd"/>
      <w:r w:rsidRPr="001E4D6C">
        <w:rPr>
          <w:rFonts w:ascii="Arial" w:eastAsia="Times New Roman" w:hAnsi="Arial" w:cs="Arial"/>
          <w:color w:val="4472C4" w:themeColor="accent1"/>
          <w:sz w:val="28"/>
          <w:szCs w:val="28"/>
        </w:rPr>
        <w:t xml:space="preserve"> Manufacturing Corporation". It amended its Articles of Incorporation on August 23, 1985 to change its corporate name to "Industrial Refractories Corp. of the Philippines".</w:t>
      </w:r>
      <w:r w:rsidRPr="001E4D6C">
        <w:rPr>
          <w:rFonts w:ascii="Arial" w:eastAsia="Times New Roman" w:hAnsi="Arial" w:cs="Arial"/>
          <w:color w:val="4472C4" w:themeColor="accent1"/>
          <w:sz w:val="28"/>
          <w:szCs w:val="28"/>
        </w:rPr>
        <w:br/>
      </w:r>
      <w:r w:rsidRPr="001E4D6C">
        <w:rPr>
          <w:rFonts w:ascii="Arial" w:eastAsia="Times New Roman" w:hAnsi="Arial" w:cs="Arial"/>
          <w:color w:val="4472C4" w:themeColor="accent1"/>
          <w:sz w:val="28"/>
          <w:szCs w:val="28"/>
        </w:rPr>
        <w:br/>
        <w:t>Both companies are the only local suppliers of monolithic gunning mix.</w:t>
      </w:r>
      <w:r w:rsidRPr="001E4D6C">
        <w:rPr>
          <w:rFonts w:ascii="Arial" w:eastAsia="Times New Roman" w:hAnsi="Arial" w:cs="Arial"/>
          <w:color w:val="4472C4" w:themeColor="accent1"/>
          <w:sz w:val="28"/>
          <w:szCs w:val="28"/>
        </w:rPr>
        <w:br/>
      </w:r>
      <w:r w:rsidRPr="001E4D6C">
        <w:rPr>
          <w:rFonts w:ascii="Arial" w:eastAsia="Times New Roman" w:hAnsi="Arial" w:cs="Arial"/>
          <w:color w:val="4472C4" w:themeColor="accent1"/>
          <w:sz w:val="28"/>
          <w:szCs w:val="28"/>
        </w:rPr>
        <w:br/>
      </w:r>
      <w:r w:rsidRPr="001E4D6C">
        <w:rPr>
          <w:rFonts w:ascii="Arial" w:eastAsia="Times New Roman" w:hAnsi="Arial" w:cs="Arial"/>
          <w:color w:val="4472C4" w:themeColor="accent1"/>
          <w:sz w:val="28"/>
          <w:szCs w:val="28"/>
        </w:rPr>
        <w:lastRenderedPageBreak/>
        <w:t>Respondent RCP then filed a petition with the Securities and Exchange Commission to compel petitioner IRCP to change its corporate name.</w:t>
      </w:r>
      <w:r w:rsidRPr="001E4D6C">
        <w:rPr>
          <w:rFonts w:ascii="Arial" w:eastAsia="Times New Roman" w:hAnsi="Arial" w:cs="Arial"/>
          <w:color w:val="4472C4" w:themeColor="accent1"/>
          <w:sz w:val="28"/>
          <w:szCs w:val="28"/>
        </w:rPr>
        <w:br/>
      </w:r>
      <w:r w:rsidRPr="001E4D6C">
        <w:rPr>
          <w:rFonts w:ascii="Arial" w:eastAsia="Times New Roman" w:hAnsi="Arial" w:cs="Arial"/>
          <w:color w:val="4472C4" w:themeColor="accent1"/>
          <w:sz w:val="28"/>
          <w:szCs w:val="28"/>
        </w:rPr>
        <w:br/>
        <w:t>The SEC rendered judgment in favor of respondent RCP.</w:t>
      </w:r>
      <w:r w:rsidRPr="001E4D6C">
        <w:rPr>
          <w:rFonts w:ascii="Arial" w:eastAsia="Times New Roman" w:hAnsi="Arial" w:cs="Arial"/>
          <w:color w:val="4472C4" w:themeColor="accent1"/>
          <w:sz w:val="28"/>
          <w:szCs w:val="28"/>
        </w:rPr>
        <w:br/>
      </w:r>
      <w:r w:rsidRPr="001E4D6C">
        <w:rPr>
          <w:rFonts w:ascii="Arial" w:eastAsia="Times New Roman" w:hAnsi="Arial" w:cs="Arial"/>
          <w:color w:val="4472C4" w:themeColor="accent1"/>
          <w:sz w:val="28"/>
          <w:szCs w:val="28"/>
        </w:rPr>
        <w:br/>
        <w:t xml:space="preserve">Petitioner appealed to the SEC </w:t>
      </w:r>
      <w:proofErr w:type="spellStart"/>
      <w:r w:rsidRPr="001E4D6C">
        <w:rPr>
          <w:rFonts w:ascii="Arial" w:eastAsia="Times New Roman" w:hAnsi="Arial" w:cs="Arial"/>
          <w:color w:val="4472C4" w:themeColor="accent1"/>
          <w:sz w:val="28"/>
          <w:szCs w:val="28"/>
        </w:rPr>
        <w:t>En</w:t>
      </w:r>
      <w:proofErr w:type="spellEnd"/>
      <w:r w:rsidRPr="001E4D6C">
        <w:rPr>
          <w:rFonts w:ascii="Arial" w:eastAsia="Times New Roman" w:hAnsi="Arial" w:cs="Arial"/>
          <w:color w:val="4472C4" w:themeColor="accent1"/>
          <w:sz w:val="28"/>
          <w:szCs w:val="28"/>
        </w:rPr>
        <w:t xml:space="preserve"> Banc. The SEC </w:t>
      </w:r>
      <w:proofErr w:type="spellStart"/>
      <w:r w:rsidRPr="001E4D6C">
        <w:rPr>
          <w:rFonts w:ascii="Arial" w:eastAsia="Times New Roman" w:hAnsi="Arial" w:cs="Arial"/>
          <w:color w:val="4472C4" w:themeColor="accent1"/>
          <w:sz w:val="28"/>
          <w:szCs w:val="28"/>
        </w:rPr>
        <w:t>En</w:t>
      </w:r>
      <w:proofErr w:type="spellEnd"/>
      <w:r w:rsidRPr="001E4D6C">
        <w:rPr>
          <w:rFonts w:ascii="Arial" w:eastAsia="Times New Roman" w:hAnsi="Arial" w:cs="Arial"/>
          <w:color w:val="4472C4" w:themeColor="accent1"/>
          <w:sz w:val="28"/>
          <w:szCs w:val="28"/>
        </w:rPr>
        <w:t xml:space="preserve"> Banc modified the appealed decision and the petitioner was ordered to delete or drop from its corporate name only the word "Refractories".</w:t>
      </w:r>
      <w:r w:rsidRPr="001E4D6C">
        <w:rPr>
          <w:rFonts w:ascii="Arial" w:eastAsia="Times New Roman" w:hAnsi="Arial" w:cs="Arial"/>
          <w:color w:val="4472C4" w:themeColor="accent1"/>
          <w:sz w:val="28"/>
          <w:szCs w:val="28"/>
        </w:rPr>
        <w:br/>
      </w:r>
      <w:r w:rsidRPr="001E4D6C">
        <w:rPr>
          <w:rFonts w:ascii="Arial" w:eastAsia="Times New Roman" w:hAnsi="Arial" w:cs="Arial"/>
          <w:color w:val="4472C4" w:themeColor="accent1"/>
          <w:sz w:val="28"/>
          <w:szCs w:val="28"/>
        </w:rPr>
        <w:br/>
        <w:t>Petitioner IRCP filed a petition for review on certiorari to the Court of Appeals and the appellate court upheld the jurisdiction of the SEC over the case and ruled that the corporate names of petitioner IRCP and respondent RCP are confusingly or deceptively similar, and that respondent RCP has established its prior right to use the word "Refractories" as its corporate name.</w:t>
      </w:r>
      <w:r w:rsidRPr="001E4D6C">
        <w:rPr>
          <w:rFonts w:ascii="Arial" w:eastAsia="Times New Roman" w:hAnsi="Arial" w:cs="Arial"/>
          <w:color w:val="4472C4" w:themeColor="accent1"/>
          <w:sz w:val="28"/>
          <w:szCs w:val="28"/>
        </w:rPr>
        <w:br/>
      </w:r>
      <w:r w:rsidRPr="001E4D6C">
        <w:rPr>
          <w:rFonts w:ascii="Arial" w:eastAsia="Times New Roman" w:hAnsi="Arial" w:cs="Arial"/>
          <w:color w:val="4472C4" w:themeColor="accent1"/>
          <w:sz w:val="28"/>
          <w:szCs w:val="28"/>
        </w:rPr>
        <w:br/>
        <w:t>Petitioner then filed a petition for review on certiorari</w:t>
      </w:r>
      <w:r w:rsidRPr="001E4D6C">
        <w:rPr>
          <w:rFonts w:ascii="Arial" w:eastAsia="Times New Roman" w:hAnsi="Arial" w:cs="Arial"/>
          <w:color w:val="4472C4" w:themeColor="accent1"/>
          <w:sz w:val="28"/>
          <w:szCs w:val="28"/>
        </w:rPr>
        <w:br/>
      </w:r>
      <w:r w:rsidRPr="001E4D6C">
        <w:rPr>
          <w:rFonts w:ascii="Arial" w:eastAsia="Times New Roman" w:hAnsi="Arial" w:cs="Arial"/>
          <w:color w:val="4472C4" w:themeColor="accent1"/>
          <w:sz w:val="28"/>
          <w:szCs w:val="28"/>
        </w:rPr>
        <w:br/>
        <w:t>Issue:</w:t>
      </w:r>
    </w:p>
    <w:p w:rsidR="001E4D6C" w:rsidRPr="001E4D6C" w:rsidRDefault="001E4D6C" w:rsidP="001E4D6C">
      <w:pPr>
        <w:spacing w:after="280" w:line="276" w:lineRule="auto"/>
        <w:rPr>
          <w:rFonts w:ascii="Arial" w:eastAsia="Times New Roman" w:hAnsi="Arial" w:cs="Arial"/>
          <w:color w:val="4472C4" w:themeColor="accent1"/>
          <w:sz w:val="28"/>
          <w:szCs w:val="28"/>
        </w:rPr>
      </w:pPr>
      <w:r w:rsidRPr="001E4D6C">
        <w:rPr>
          <w:rFonts w:ascii="Arial" w:eastAsia="Times New Roman" w:hAnsi="Arial" w:cs="Arial"/>
          <w:color w:val="4472C4" w:themeColor="accent1"/>
          <w:sz w:val="28"/>
          <w:szCs w:val="28"/>
        </w:rPr>
        <w:br/>
        <w:t>Are corporate names Refractories Corporation of the Philippines (RCP) and "Industrial Refractories Corp. of the Philippines" confusingly and deceptively similar?</w:t>
      </w:r>
    </w:p>
    <w:p w:rsidR="001E4D6C" w:rsidRPr="001E4D6C" w:rsidRDefault="001E4D6C" w:rsidP="001E4D6C">
      <w:pPr>
        <w:spacing w:line="276" w:lineRule="auto"/>
        <w:rPr>
          <w:rFonts w:ascii="Arial" w:eastAsia="Times New Roman" w:hAnsi="Arial" w:cs="Arial"/>
          <w:color w:val="4472C4" w:themeColor="accent1"/>
          <w:sz w:val="28"/>
          <w:szCs w:val="28"/>
        </w:rPr>
      </w:pPr>
      <w:r w:rsidRPr="001E4D6C">
        <w:rPr>
          <w:rFonts w:ascii="Arial" w:eastAsia="Times New Roman" w:hAnsi="Arial" w:cs="Arial"/>
          <w:color w:val="4472C4" w:themeColor="accent1"/>
          <w:sz w:val="28"/>
          <w:szCs w:val="28"/>
        </w:rPr>
        <w:t>Ruling:</w:t>
      </w:r>
    </w:p>
    <w:p w:rsidR="001E4D6C" w:rsidRPr="001E4D6C" w:rsidRDefault="001E4D6C" w:rsidP="001E4D6C">
      <w:pPr>
        <w:spacing w:line="276" w:lineRule="auto"/>
        <w:rPr>
          <w:rFonts w:ascii="Arial" w:eastAsia="Times New Roman" w:hAnsi="Arial" w:cs="Arial"/>
          <w:color w:val="4472C4" w:themeColor="accent1"/>
          <w:sz w:val="28"/>
          <w:szCs w:val="28"/>
        </w:rPr>
      </w:pPr>
      <w:r w:rsidRPr="001E4D6C">
        <w:rPr>
          <w:rFonts w:ascii="Arial" w:eastAsia="Times New Roman" w:hAnsi="Arial" w:cs="Arial"/>
          <w:color w:val="4472C4" w:themeColor="accent1"/>
          <w:sz w:val="28"/>
          <w:szCs w:val="28"/>
        </w:rPr>
        <w:br/>
        <w:t>Yes, the petitioner and respondent RCP’s corporate names are confusingly and deceptively similar.</w:t>
      </w:r>
      <w:r w:rsidRPr="001E4D6C">
        <w:rPr>
          <w:rFonts w:ascii="Arial" w:eastAsia="Times New Roman" w:hAnsi="Arial" w:cs="Arial"/>
          <w:color w:val="4472C4" w:themeColor="accent1"/>
          <w:sz w:val="28"/>
          <w:szCs w:val="28"/>
        </w:rPr>
        <w:br/>
        <w:t xml:space="preserve">Further, Section 18 of the Corporation Code expressly prohibits the use of a corporate name which is "identical or deceptively or </w:t>
      </w:r>
      <w:r w:rsidRPr="001E4D6C">
        <w:rPr>
          <w:rFonts w:ascii="Arial" w:eastAsia="Times New Roman" w:hAnsi="Arial" w:cs="Arial"/>
          <w:color w:val="4472C4" w:themeColor="accent1"/>
          <w:sz w:val="28"/>
          <w:szCs w:val="28"/>
        </w:rPr>
        <w:lastRenderedPageBreak/>
        <w:t>confusingly similar to that of any existing corporation or to any other name already protected by law or is patently deceptive, confusing or contrary to existing laws". The policy behind said prohibition is to avoid fraud upon the public that will have occasion to deal with the entity concerned, the evasion of legal obligations and duties, and the reduction of difficulties of administration and supervision over corporation.</w:t>
      </w:r>
      <w:r w:rsidRPr="001E4D6C">
        <w:rPr>
          <w:rFonts w:ascii="Arial" w:eastAsia="Times New Roman" w:hAnsi="Arial" w:cs="Arial"/>
          <w:color w:val="4472C4" w:themeColor="accent1"/>
          <w:sz w:val="28"/>
          <w:szCs w:val="28"/>
        </w:rPr>
        <w:br/>
      </w:r>
      <w:r w:rsidRPr="001E4D6C">
        <w:rPr>
          <w:rFonts w:ascii="Arial" w:eastAsia="Times New Roman" w:hAnsi="Arial" w:cs="Arial"/>
          <w:color w:val="4472C4" w:themeColor="accent1"/>
          <w:sz w:val="28"/>
          <w:szCs w:val="28"/>
        </w:rPr>
        <w:br/>
        <w:t>The Supreme Court denied the petition for review on certiorari due for lack of merit.</w:t>
      </w:r>
    </w:p>
    <w:p w:rsidR="001E4D6C" w:rsidRPr="001E4D6C" w:rsidRDefault="001E4D6C" w:rsidP="001E4D6C">
      <w:pPr>
        <w:spacing w:line="276" w:lineRule="auto"/>
        <w:rPr>
          <w:rFonts w:ascii="Arial" w:hAnsi="Arial" w:cs="Arial"/>
          <w:color w:val="4472C4" w:themeColor="accent1"/>
          <w:sz w:val="28"/>
          <w:szCs w:val="28"/>
        </w:rPr>
      </w:pPr>
    </w:p>
    <w:p w:rsidR="001E4D6C" w:rsidRPr="001E4D6C" w:rsidRDefault="001E4D6C" w:rsidP="001E4D6C">
      <w:pPr>
        <w:spacing w:line="276" w:lineRule="auto"/>
        <w:rPr>
          <w:rFonts w:ascii="Arial" w:hAnsi="Arial" w:cs="Arial"/>
          <w:color w:val="4472C4" w:themeColor="accent1"/>
          <w:sz w:val="28"/>
          <w:szCs w:val="28"/>
        </w:rPr>
      </w:pPr>
    </w:p>
    <w:p w:rsidR="001E4D6C" w:rsidRDefault="001E4D6C" w:rsidP="001E4D6C">
      <w:pPr>
        <w:spacing w:line="276" w:lineRule="auto"/>
        <w:jc w:val="both"/>
        <w:rPr>
          <w:rFonts w:ascii="Arial" w:eastAsia="Times New Roman" w:hAnsi="Arial" w:cs="Arial"/>
          <w:bCs/>
          <w:color w:val="4472C4" w:themeColor="accent1"/>
          <w:sz w:val="28"/>
          <w:szCs w:val="28"/>
        </w:rPr>
      </w:pPr>
    </w:p>
    <w:p w:rsidR="001E4D6C" w:rsidRDefault="001E4D6C" w:rsidP="001E4D6C">
      <w:pPr>
        <w:spacing w:line="276" w:lineRule="auto"/>
        <w:jc w:val="both"/>
        <w:rPr>
          <w:rFonts w:ascii="Arial" w:eastAsia="Times New Roman" w:hAnsi="Arial" w:cs="Arial"/>
          <w:bCs/>
          <w:color w:val="4472C4" w:themeColor="accent1"/>
          <w:sz w:val="28"/>
          <w:szCs w:val="28"/>
        </w:rPr>
      </w:pPr>
    </w:p>
    <w:p w:rsidR="001E4D6C" w:rsidRDefault="001E4D6C" w:rsidP="001E4D6C">
      <w:pPr>
        <w:spacing w:line="276" w:lineRule="auto"/>
        <w:jc w:val="both"/>
        <w:rPr>
          <w:rFonts w:ascii="Arial" w:eastAsia="Times New Roman" w:hAnsi="Arial" w:cs="Arial"/>
          <w:bCs/>
          <w:color w:val="4472C4" w:themeColor="accent1"/>
          <w:sz w:val="28"/>
          <w:szCs w:val="28"/>
        </w:rPr>
      </w:pPr>
    </w:p>
    <w:p w:rsidR="001E4D6C" w:rsidRDefault="001E4D6C" w:rsidP="001E4D6C">
      <w:pPr>
        <w:spacing w:line="276" w:lineRule="auto"/>
        <w:jc w:val="both"/>
        <w:rPr>
          <w:rFonts w:ascii="Arial" w:eastAsia="Times New Roman" w:hAnsi="Arial" w:cs="Arial"/>
          <w:bCs/>
          <w:color w:val="4472C4" w:themeColor="accent1"/>
          <w:sz w:val="28"/>
          <w:szCs w:val="28"/>
        </w:rPr>
      </w:pPr>
    </w:p>
    <w:p w:rsidR="001E4D6C" w:rsidRDefault="001E4D6C" w:rsidP="001E4D6C">
      <w:pPr>
        <w:spacing w:line="276" w:lineRule="auto"/>
        <w:jc w:val="both"/>
        <w:rPr>
          <w:rFonts w:ascii="Arial" w:eastAsia="Times New Roman" w:hAnsi="Arial" w:cs="Arial"/>
          <w:bCs/>
          <w:color w:val="4472C4" w:themeColor="accent1"/>
          <w:sz w:val="28"/>
          <w:szCs w:val="28"/>
        </w:rPr>
      </w:pPr>
    </w:p>
    <w:p w:rsidR="001E4D6C" w:rsidRPr="001E4D6C" w:rsidRDefault="001E4D6C" w:rsidP="001E4D6C">
      <w:pPr>
        <w:spacing w:line="276" w:lineRule="auto"/>
        <w:jc w:val="both"/>
        <w:rPr>
          <w:rFonts w:ascii="Arial" w:eastAsia="Times New Roman" w:hAnsi="Arial" w:cs="Arial"/>
          <w:color w:val="4472C4" w:themeColor="accent1"/>
          <w:sz w:val="28"/>
          <w:szCs w:val="28"/>
        </w:rPr>
      </w:pPr>
      <w:r w:rsidRPr="001E4D6C">
        <w:rPr>
          <w:rFonts w:ascii="Arial" w:eastAsia="Times New Roman" w:hAnsi="Arial" w:cs="Arial"/>
          <w:bCs/>
          <w:color w:val="4472C4" w:themeColor="accent1"/>
          <w:sz w:val="28"/>
          <w:szCs w:val="28"/>
        </w:rPr>
        <w:t xml:space="preserve">Hall vs. </w:t>
      </w:r>
      <w:proofErr w:type="spellStart"/>
      <w:r w:rsidRPr="001E4D6C">
        <w:rPr>
          <w:rFonts w:ascii="Arial" w:eastAsia="Times New Roman" w:hAnsi="Arial" w:cs="Arial"/>
          <w:bCs/>
          <w:color w:val="4472C4" w:themeColor="accent1"/>
          <w:sz w:val="28"/>
          <w:szCs w:val="28"/>
        </w:rPr>
        <w:t>Piccio</w:t>
      </w:r>
      <w:proofErr w:type="spellEnd"/>
    </w:p>
    <w:p w:rsidR="001E4D6C" w:rsidRPr="001E4D6C" w:rsidRDefault="001E4D6C" w:rsidP="001E4D6C">
      <w:pPr>
        <w:spacing w:line="276" w:lineRule="auto"/>
        <w:jc w:val="both"/>
        <w:rPr>
          <w:rFonts w:ascii="Arial" w:eastAsia="Times New Roman" w:hAnsi="Arial" w:cs="Arial"/>
          <w:color w:val="4472C4" w:themeColor="accent1"/>
          <w:sz w:val="28"/>
          <w:szCs w:val="28"/>
        </w:rPr>
      </w:pPr>
      <w:r w:rsidRPr="001E4D6C">
        <w:rPr>
          <w:rFonts w:ascii="Arial" w:eastAsia="Times New Roman" w:hAnsi="Arial" w:cs="Arial"/>
          <w:bCs/>
          <w:color w:val="4472C4" w:themeColor="accent1"/>
          <w:sz w:val="28"/>
          <w:szCs w:val="28"/>
        </w:rPr>
        <w:t>[GR L-2598, 29 June 1950]</w:t>
      </w:r>
    </w:p>
    <w:p w:rsidR="001E4D6C" w:rsidRPr="001E4D6C" w:rsidRDefault="001E4D6C" w:rsidP="001E4D6C">
      <w:pPr>
        <w:spacing w:line="276" w:lineRule="auto"/>
        <w:jc w:val="both"/>
        <w:rPr>
          <w:rFonts w:ascii="Arial" w:eastAsia="Times New Roman" w:hAnsi="Arial" w:cs="Arial"/>
          <w:color w:val="4472C4" w:themeColor="accent1"/>
          <w:sz w:val="28"/>
          <w:szCs w:val="28"/>
        </w:rPr>
      </w:pPr>
    </w:p>
    <w:p w:rsidR="001E4D6C" w:rsidRPr="001E4D6C" w:rsidRDefault="001E4D6C" w:rsidP="001E4D6C">
      <w:pPr>
        <w:spacing w:line="276" w:lineRule="auto"/>
        <w:jc w:val="both"/>
        <w:rPr>
          <w:rFonts w:ascii="Arial" w:eastAsia="Times New Roman" w:hAnsi="Arial" w:cs="Arial"/>
          <w:color w:val="4472C4" w:themeColor="accent1"/>
          <w:sz w:val="28"/>
          <w:szCs w:val="28"/>
        </w:rPr>
      </w:pPr>
      <w:r w:rsidRPr="001E4D6C">
        <w:rPr>
          <w:rFonts w:ascii="Arial" w:eastAsia="Times New Roman" w:hAnsi="Arial" w:cs="Arial"/>
          <w:bCs/>
          <w:color w:val="4472C4" w:themeColor="accent1"/>
          <w:sz w:val="28"/>
          <w:szCs w:val="28"/>
        </w:rPr>
        <w:t>Facts:</w:t>
      </w:r>
      <w:r w:rsidRPr="001E4D6C">
        <w:rPr>
          <w:rFonts w:ascii="Arial" w:eastAsia="Times New Roman" w:hAnsi="Arial" w:cs="Arial"/>
          <w:color w:val="4472C4" w:themeColor="accent1"/>
          <w:sz w:val="28"/>
          <w:szCs w:val="28"/>
        </w:rPr>
        <w:t xml:space="preserve"> On 28 May 1947, C. Arnold Hall and Bradley P. Hall, and Fred Brown, Emma Brown, </w:t>
      </w:r>
      <w:proofErr w:type="spellStart"/>
      <w:r w:rsidRPr="001E4D6C">
        <w:rPr>
          <w:rFonts w:ascii="Arial" w:eastAsia="Times New Roman" w:hAnsi="Arial" w:cs="Arial"/>
          <w:color w:val="4472C4" w:themeColor="accent1"/>
          <w:sz w:val="28"/>
          <w:szCs w:val="28"/>
        </w:rPr>
        <w:t>Hipolita</w:t>
      </w:r>
      <w:proofErr w:type="spellEnd"/>
      <w:r w:rsidRPr="001E4D6C">
        <w:rPr>
          <w:rFonts w:ascii="Arial" w:eastAsia="Times New Roman" w:hAnsi="Arial" w:cs="Arial"/>
          <w:color w:val="4472C4" w:themeColor="accent1"/>
          <w:sz w:val="28"/>
          <w:szCs w:val="28"/>
        </w:rPr>
        <w:t xml:space="preserve"> D. Chapman and </w:t>
      </w:r>
      <w:proofErr w:type="spellStart"/>
      <w:r w:rsidRPr="001E4D6C">
        <w:rPr>
          <w:rFonts w:ascii="Arial" w:eastAsia="Times New Roman" w:hAnsi="Arial" w:cs="Arial"/>
          <w:color w:val="4472C4" w:themeColor="accent1"/>
          <w:sz w:val="28"/>
          <w:szCs w:val="28"/>
        </w:rPr>
        <w:t>Ceferino</w:t>
      </w:r>
      <w:proofErr w:type="spellEnd"/>
      <w:r w:rsidRPr="001E4D6C">
        <w:rPr>
          <w:rFonts w:ascii="Arial" w:eastAsia="Times New Roman" w:hAnsi="Arial" w:cs="Arial"/>
          <w:color w:val="4472C4" w:themeColor="accent1"/>
          <w:sz w:val="28"/>
          <w:szCs w:val="28"/>
        </w:rPr>
        <w:t xml:space="preserve"> S. </w:t>
      </w:r>
      <w:proofErr w:type="spellStart"/>
      <w:r w:rsidRPr="001E4D6C">
        <w:rPr>
          <w:rFonts w:ascii="Arial" w:eastAsia="Times New Roman" w:hAnsi="Arial" w:cs="Arial"/>
          <w:color w:val="4472C4" w:themeColor="accent1"/>
          <w:sz w:val="28"/>
          <w:szCs w:val="28"/>
        </w:rPr>
        <w:t>Abella</w:t>
      </w:r>
      <w:proofErr w:type="spellEnd"/>
      <w:r w:rsidRPr="001E4D6C">
        <w:rPr>
          <w:rFonts w:ascii="Arial" w:eastAsia="Times New Roman" w:hAnsi="Arial" w:cs="Arial"/>
          <w:color w:val="4472C4" w:themeColor="accent1"/>
          <w:sz w:val="28"/>
          <w:szCs w:val="28"/>
        </w:rPr>
        <w:t xml:space="preserve">, signed and acknowledged in Leyte, the article of incorporation of the Far Eastern Lumber and Commercial Co., Inc., organized to engage in a general lumber business to carry on as general contractors, operators and managers, etc. Attached to the article was an affidavit of the treasurer stating that 23,428 shares of stock had been subscribed and fully paid with certain properties transferred to the corporation described in a list appended thereto. Immediately after the execution of said articles of incorporation, the corporation proceeded </w:t>
      </w:r>
      <w:r w:rsidRPr="001E4D6C">
        <w:rPr>
          <w:rFonts w:ascii="Arial" w:eastAsia="Times New Roman" w:hAnsi="Arial" w:cs="Arial"/>
          <w:color w:val="4472C4" w:themeColor="accent1"/>
          <w:sz w:val="28"/>
          <w:szCs w:val="28"/>
        </w:rPr>
        <w:lastRenderedPageBreak/>
        <w:t>to do business with the adoption of by-laws and the election of its officers. </w:t>
      </w:r>
    </w:p>
    <w:p w:rsidR="001E4D6C" w:rsidRPr="001E4D6C" w:rsidRDefault="001E4D6C" w:rsidP="001E4D6C">
      <w:pPr>
        <w:spacing w:line="276" w:lineRule="auto"/>
        <w:jc w:val="both"/>
        <w:rPr>
          <w:rFonts w:ascii="Arial" w:eastAsia="Times New Roman" w:hAnsi="Arial" w:cs="Arial"/>
          <w:color w:val="4472C4" w:themeColor="accent1"/>
          <w:sz w:val="28"/>
          <w:szCs w:val="28"/>
        </w:rPr>
      </w:pPr>
    </w:p>
    <w:p w:rsidR="001E4D6C" w:rsidRPr="001E4D6C" w:rsidRDefault="001E4D6C" w:rsidP="001E4D6C">
      <w:pPr>
        <w:spacing w:line="276" w:lineRule="auto"/>
        <w:jc w:val="both"/>
        <w:rPr>
          <w:rFonts w:ascii="Arial" w:eastAsia="Times New Roman" w:hAnsi="Arial" w:cs="Arial"/>
          <w:color w:val="4472C4" w:themeColor="accent1"/>
          <w:sz w:val="28"/>
          <w:szCs w:val="28"/>
        </w:rPr>
      </w:pPr>
      <w:r w:rsidRPr="001E4D6C">
        <w:rPr>
          <w:rFonts w:ascii="Arial" w:eastAsia="Times New Roman" w:hAnsi="Arial" w:cs="Arial"/>
          <w:color w:val="4472C4" w:themeColor="accent1"/>
          <w:sz w:val="28"/>
          <w:szCs w:val="28"/>
        </w:rPr>
        <w:t xml:space="preserve">On 2 December 1947, the said articles of incorporation were filed in the office of the Securities and Exchange Commissioner, for the issuance of the corresponding certificate of incorporation. On 22 March 1948, pending action on the articles of incorporation by the aforesaid governmental office, Fred Brown, Emma Brown, </w:t>
      </w:r>
      <w:proofErr w:type="spellStart"/>
      <w:r w:rsidRPr="001E4D6C">
        <w:rPr>
          <w:rFonts w:ascii="Arial" w:eastAsia="Times New Roman" w:hAnsi="Arial" w:cs="Arial"/>
          <w:color w:val="4472C4" w:themeColor="accent1"/>
          <w:sz w:val="28"/>
          <w:szCs w:val="28"/>
        </w:rPr>
        <w:t>Hipolita</w:t>
      </w:r>
      <w:proofErr w:type="spellEnd"/>
      <w:r w:rsidRPr="001E4D6C">
        <w:rPr>
          <w:rFonts w:ascii="Arial" w:eastAsia="Times New Roman" w:hAnsi="Arial" w:cs="Arial"/>
          <w:color w:val="4472C4" w:themeColor="accent1"/>
          <w:sz w:val="28"/>
          <w:szCs w:val="28"/>
        </w:rPr>
        <w:t xml:space="preserve"> D. Chapman and </w:t>
      </w:r>
      <w:proofErr w:type="spellStart"/>
      <w:r w:rsidRPr="001E4D6C">
        <w:rPr>
          <w:rFonts w:ascii="Arial" w:eastAsia="Times New Roman" w:hAnsi="Arial" w:cs="Arial"/>
          <w:color w:val="4472C4" w:themeColor="accent1"/>
          <w:sz w:val="28"/>
          <w:szCs w:val="28"/>
        </w:rPr>
        <w:t>Ceferino</w:t>
      </w:r>
      <w:proofErr w:type="spellEnd"/>
      <w:r w:rsidRPr="001E4D6C">
        <w:rPr>
          <w:rFonts w:ascii="Arial" w:eastAsia="Times New Roman" w:hAnsi="Arial" w:cs="Arial"/>
          <w:color w:val="4472C4" w:themeColor="accent1"/>
          <w:sz w:val="28"/>
          <w:szCs w:val="28"/>
        </w:rPr>
        <w:t xml:space="preserve"> S. </w:t>
      </w:r>
      <w:proofErr w:type="spellStart"/>
      <w:r w:rsidRPr="001E4D6C">
        <w:rPr>
          <w:rFonts w:ascii="Arial" w:eastAsia="Times New Roman" w:hAnsi="Arial" w:cs="Arial"/>
          <w:color w:val="4472C4" w:themeColor="accent1"/>
          <w:sz w:val="28"/>
          <w:szCs w:val="28"/>
        </w:rPr>
        <w:t>Abella</w:t>
      </w:r>
      <w:proofErr w:type="spellEnd"/>
      <w:r w:rsidRPr="001E4D6C">
        <w:rPr>
          <w:rFonts w:ascii="Arial" w:eastAsia="Times New Roman" w:hAnsi="Arial" w:cs="Arial"/>
          <w:color w:val="4472C4" w:themeColor="accent1"/>
          <w:sz w:val="28"/>
          <w:szCs w:val="28"/>
        </w:rPr>
        <w:t xml:space="preserve"> filed before the Court of First Instance of Leyte the civil case, alleging among other things that the Far Eastern Lumber and Commercial Co. was an unregistered partnership; that they wished to have it dissolved because of bitter dissension among the members, mismanagement and fraud by the managers and heavy financial losses. C. Arnold Hall and Bradley P. Hall, filed a motion to dismiss, contesting the court's jurisdiction and the sufficiently of the cause of action. </w:t>
      </w:r>
    </w:p>
    <w:p w:rsidR="001E4D6C" w:rsidRPr="001E4D6C" w:rsidRDefault="001E4D6C" w:rsidP="001E4D6C">
      <w:pPr>
        <w:spacing w:line="276" w:lineRule="auto"/>
        <w:jc w:val="both"/>
        <w:rPr>
          <w:rFonts w:ascii="Arial" w:eastAsia="Times New Roman" w:hAnsi="Arial" w:cs="Arial"/>
          <w:color w:val="4472C4" w:themeColor="accent1"/>
          <w:sz w:val="28"/>
          <w:szCs w:val="28"/>
        </w:rPr>
      </w:pPr>
    </w:p>
    <w:p w:rsidR="001E4D6C" w:rsidRPr="001E4D6C" w:rsidRDefault="001E4D6C" w:rsidP="001E4D6C">
      <w:pPr>
        <w:spacing w:line="276" w:lineRule="auto"/>
        <w:jc w:val="both"/>
        <w:rPr>
          <w:rFonts w:ascii="Arial" w:eastAsia="Times New Roman" w:hAnsi="Arial" w:cs="Arial"/>
          <w:color w:val="4472C4" w:themeColor="accent1"/>
          <w:sz w:val="28"/>
          <w:szCs w:val="28"/>
        </w:rPr>
      </w:pPr>
      <w:r w:rsidRPr="001E4D6C">
        <w:rPr>
          <w:rFonts w:ascii="Arial" w:eastAsia="Times New Roman" w:hAnsi="Arial" w:cs="Arial"/>
          <w:color w:val="4472C4" w:themeColor="accent1"/>
          <w:sz w:val="28"/>
          <w:szCs w:val="28"/>
        </w:rPr>
        <w:t xml:space="preserve">After hearing the parties, the Hon. Edmund S. </w:t>
      </w:r>
      <w:proofErr w:type="spellStart"/>
      <w:r w:rsidRPr="001E4D6C">
        <w:rPr>
          <w:rFonts w:ascii="Arial" w:eastAsia="Times New Roman" w:hAnsi="Arial" w:cs="Arial"/>
          <w:color w:val="4472C4" w:themeColor="accent1"/>
          <w:sz w:val="28"/>
          <w:szCs w:val="28"/>
        </w:rPr>
        <w:t>Piccio</w:t>
      </w:r>
      <w:proofErr w:type="spellEnd"/>
      <w:r w:rsidRPr="001E4D6C">
        <w:rPr>
          <w:rFonts w:ascii="Arial" w:eastAsia="Times New Roman" w:hAnsi="Arial" w:cs="Arial"/>
          <w:color w:val="4472C4" w:themeColor="accent1"/>
          <w:sz w:val="28"/>
          <w:szCs w:val="28"/>
        </w:rPr>
        <w:t xml:space="preserve"> ordered the dissolution of the company; and at the request of Brown, et. al., appointed Pedro A. </w:t>
      </w:r>
      <w:proofErr w:type="spellStart"/>
      <w:r w:rsidRPr="001E4D6C">
        <w:rPr>
          <w:rFonts w:ascii="Arial" w:eastAsia="Times New Roman" w:hAnsi="Arial" w:cs="Arial"/>
          <w:color w:val="4472C4" w:themeColor="accent1"/>
          <w:sz w:val="28"/>
          <w:szCs w:val="28"/>
        </w:rPr>
        <w:t>Capuciong</w:t>
      </w:r>
      <w:proofErr w:type="spellEnd"/>
      <w:r w:rsidRPr="001E4D6C">
        <w:rPr>
          <w:rFonts w:ascii="Arial" w:eastAsia="Times New Roman" w:hAnsi="Arial" w:cs="Arial"/>
          <w:color w:val="4472C4" w:themeColor="accent1"/>
          <w:sz w:val="28"/>
          <w:szCs w:val="28"/>
        </w:rPr>
        <w:t xml:space="preserve"> as the receiver of the properties thereof, upon the filing of a P20,000 bond. Hall and Hall offered to file a counter-bond for the discharge of the receiver, but Judge </w:t>
      </w:r>
      <w:proofErr w:type="spellStart"/>
      <w:r w:rsidRPr="001E4D6C">
        <w:rPr>
          <w:rFonts w:ascii="Arial" w:eastAsia="Times New Roman" w:hAnsi="Arial" w:cs="Arial"/>
          <w:color w:val="4472C4" w:themeColor="accent1"/>
          <w:sz w:val="28"/>
          <w:szCs w:val="28"/>
        </w:rPr>
        <w:t>Piccio</w:t>
      </w:r>
      <w:proofErr w:type="spellEnd"/>
      <w:r w:rsidRPr="001E4D6C">
        <w:rPr>
          <w:rFonts w:ascii="Arial" w:eastAsia="Times New Roman" w:hAnsi="Arial" w:cs="Arial"/>
          <w:color w:val="4472C4" w:themeColor="accent1"/>
          <w:sz w:val="28"/>
          <w:szCs w:val="28"/>
        </w:rPr>
        <w:t xml:space="preserve"> refused to accept the offer and to discharge the receiver. Whereupon, Hall and Hall instituted the present special civil action with the Supreme Court. </w:t>
      </w:r>
    </w:p>
    <w:p w:rsidR="001E4D6C" w:rsidRPr="001E4D6C" w:rsidRDefault="001E4D6C" w:rsidP="001E4D6C">
      <w:pPr>
        <w:spacing w:line="276" w:lineRule="auto"/>
        <w:jc w:val="both"/>
        <w:rPr>
          <w:rFonts w:ascii="Arial" w:eastAsia="Times New Roman" w:hAnsi="Arial" w:cs="Arial"/>
          <w:color w:val="4472C4" w:themeColor="accent1"/>
          <w:sz w:val="28"/>
          <w:szCs w:val="28"/>
        </w:rPr>
      </w:pPr>
    </w:p>
    <w:p w:rsidR="001E4D6C" w:rsidRPr="001E4D6C" w:rsidRDefault="001E4D6C" w:rsidP="001E4D6C">
      <w:pPr>
        <w:spacing w:line="276" w:lineRule="auto"/>
        <w:jc w:val="both"/>
        <w:rPr>
          <w:rFonts w:ascii="Arial" w:eastAsia="Times New Roman" w:hAnsi="Arial" w:cs="Arial"/>
          <w:color w:val="4472C4" w:themeColor="accent1"/>
          <w:sz w:val="28"/>
          <w:szCs w:val="28"/>
        </w:rPr>
      </w:pPr>
      <w:r w:rsidRPr="001E4D6C">
        <w:rPr>
          <w:rFonts w:ascii="Arial" w:eastAsia="Times New Roman" w:hAnsi="Arial" w:cs="Arial"/>
          <w:bCs/>
          <w:color w:val="4472C4" w:themeColor="accent1"/>
          <w:sz w:val="28"/>
          <w:szCs w:val="28"/>
        </w:rPr>
        <w:t>Issue: </w:t>
      </w:r>
      <w:r w:rsidRPr="001E4D6C">
        <w:rPr>
          <w:rFonts w:ascii="Arial" w:eastAsia="Times New Roman" w:hAnsi="Arial" w:cs="Arial"/>
          <w:color w:val="4472C4" w:themeColor="accent1"/>
          <w:sz w:val="28"/>
          <w:szCs w:val="28"/>
        </w:rPr>
        <w:t>Whether Brown, et. al. may file an action to cause the dissolution of the Far Eastern Lumber and Commercial Co., without State intervention. </w:t>
      </w:r>
    </w:p>
    <w:p w:rsidR="001E4D6C" w:rsidRPr="001E4D6C" w:rsidRDefault="001E4D6C" w:rsidP="001E4D6C">
      <w:pPr>
        <w:spacing w:line="276" w:lineRule="auto"/>
        <w:jc w:val="both"/>
        <w:rPr>
          <w:rFonts w:ascii="Arial" w:eastAsia="Times New Roman" w:hAnsi="Arial" w:cs="Arial"/>
          <w:color w:val="4472C4" w:themeColor="accent1"/>
          <w:sz w:val="28"/>
          <w:szCs w:val="28"/>
        </w:rPr>
      </w:pPr>
    </w:p>
    <w:p w:rsidR="001E4D6C" w:rsidRPr="001E4D6C" w:rsidRDefault="001E4D6C" w:rsidP="001E4D6C">
      <w:pPr>
        <w:spacing w:line="276" w:lineRule="auto"/>
        <w:jc w:val="both"/>
        <w:rPr>
          <w:rFonts w:ascii="Arial" w:eastAsia="Times New Roman" w:hAnsi="Arial" w:cs="Arial"/>
          <w:color w:val="4472C4" w:themeColor="accent1"/>
          <w:sz w:val="28"/>
          <w:szCs w:val="28"/>
        </w:rPr>
      </w:pPr>
      <w:r w:rsidRPr="001E4D6C">
        <w:rPr>
          <w:rFonts w:ascii="Arial" w:eastAsia="Times New Roman" w:hAnsi="Arial" w:cs="Arial"/>
          <w:bCs/>
          <w:color w:val="4472C4" w:themeColor="accent1"/>
          <w:sz w:val="28"/>
          <w:szCs w:val="28"/>
        </w:rPr>
        <w:lastRenderedPageBreak/>
        <w:t>Held: </w:t>
      </w:r>
      <w:r w:rsidRPr="001E4D6C">
        <w:rPr>
          <w:rFonts w:ascii="Arial" w:eastAsia="Times New Roman" w:hAnsi="Arial" w:cs="Arial"/>
          <w:color w:val="4472C4" w:themeColor="accent1"/>
          <w:sz w:val="28"/>
          <w:szCs w:val="28"/>
        </w:rPr>
        <w:t>The Securities and Exchange Commission has not issued the corresponding certificate of incorporation. The personality of a corporation begins to exist only from the moment such certificate is issued — not before. Not having obtained the certificate of incorporation, the Far Eastern Lumber and Commercial Co. — even its stockholders — may not probably claim "in good faith" to be a corporation. Under the statue it is to be noted that it is the issuance of a certificate of incorporation by the Director of the Bureau of Commerce and Industry which calls a corporation into being. The immunity if collateral attack is granted to corporations "claiming in good faith to be a corporation under this act." Such a claim is compatible with the existence of errors and irregularities; but not with a total or substantial disregard of the law. Unless there has been an evident attempt to comply with the law the claim to be a corporation "under this act" could not be made "in good faith." </w:t>
      </w:r>
    </w:p>
    <w:p w:rsidR="001E4D6C" w:rsidRPr="001E4D6C" w:rsidRDefault="001E4D6C" w:rsidP="001E4D6C">
      <w:pPr>
        <w:spacing w:line="276" w:lineRule="auto"/>
        <w:jc w:val="both"/>
        <w:rPr>
          <w:rFonts w:ascii="Arial" w:eastAsia="Times New Roman" w:hAnsi="Arial" w:cs="Arial"/>
          <w:color w:val="4472C4" w:themeColor="accent1"/>
          <w:sz w:val="28"/>
          <w:szCs w:val="28"/>
        </w:rPr>
      </w:pPr>
    </w:p>
    <w:p w:rsidR="001E4D6C" w:rsidRPr="001E4D6C" w:rsidRDefault="001E4D6C" w:rsidP="001E4D6C">
      <w:pPr>
        <w:spacing w:line="276" w:lineRule="auto"/>
        <w:jc w:val="both"/>
        <w:rPr>
          <w:rFonts w:ascii="Arial" w:eastAsia="Times New Roman" w:hAnsi="Arial" w:cs="Arial"/>
          <w:color w:val="4472C4" w:themeColor="accent1"/>
          <w:sz w:val="28"/>
          <w:szCs w:val="28"/>
        </w:rPr>
      </w:pPr>
      <w:r w:rsidRPr="001E4D6C">
        <w:rPr>
          <w:rFonts w:ascii="Arial" w:eastAsia="Times New Roman" w:hAnsi="Arial" w:cs="Arial"/>
          <w:color w:val="4472C4" w:themeColor="accent1"/>
          <w:sz w:val="28"/>
          <w:szCs w:val="28"/>
        </w:rPr>
        <w:t>This is not a suit in which the corporation is a party. This is a litigation between stockholders of the alleged corporation, for the purpose of obtaining its dissolution. Even the existence of a de jure corporation may be terminated in a private suit for its dissolution between stockholders, without the intervention of the state.</w:t>
      </w:r>
    </w:p>
    <w:p w:rsidR="001E4D6C" w:rsidRPr="001E4D6C" w:rsidRDefault="001E4D6C" w:rsidP="001E4D6C">
      <w:pPr>
        <w:spacing w:line="276" w:lineRule="auto"/>
        <w:rPr>
          <w:rFonts w:ascii="Arial" w:hAnsi="Arial" w:cs="Arial"/>
          <w:color w:val="4472C4" w:themeColor="accent1"/>
          <w:sz w:val="28"/>
          <w:szCs w:val="28"/>
        </w:rPr>
      </w:pPr>
    </w:p>
    <w:p w:rsidR="001E4D6C" w:rsidRPr="001E4D6C" w:rsidRDefault="001E4D6C" w:rsidP="001E4D6C">
      <w:pPr>
        <w:spacing w:line="276" w:lineRule="auto"/>
        <w:rPr>
          <w:rFonts w:ascii="Arial" w:hAnsi="Arial" w:cs="Arial"/>
          <w:color w:val="4472C4" w:themeColor="accent1"/>
          <w:sz w:val="28"/>
          <w:szCs w:val="28"/>
        </w:rPr>
      </w:pPr>
    </w:p>
    <w:sectPr w:rsidR="001E4D6C" w:rsidRPr="001E4D6C" w:rsidSect="002A63D2">
      <w:pgSz w:w="11520" w:h="1440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51E6DA2"/>
    <w:multiLevelType w:val="multilevel"/>
    <w:tmpl w:val="76923A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lvlOverride w:ilvl="0">
      <w:lvl w:ilvl="0">
        <w:numFmt w:val="bullet"/>
        <w:lvlText w:val=""/>
        <w:lvlJc w:val="left"/>
        <w:pPr>
          <w:tabs>
            <w:tab w:val="num" w:pos="720"/>
          </w:tabs>
          <w:ind w:left="720" w:hanging="360"/>
        </w:pPr>
        <w:rPr>
          <w:rFonts w:ascii="Wingdings" w:hAnsi="Wingdings" w:hint="default"/>
          <w:sz w:val="2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4D6C"/>
    <w:rsid w:val="001E4D6C"/>
    <w:rsid w:val="002A63D2"/>
    <w:rsid w:val="0056031E"/>
    <w:rsid w:val="008222C0"/>
    <w:rsid w:val="00FE171E"/>
  </w:rsids>
  <m:mathPr>
    <m:mathFont m:val="Cambria Math"/>
    <m:brkBin m:val="before"/>
    <m:brkBinSub m:val="--"/>
    <m:smallFrac m:val="0"/>
    <m:dispDef/>
    <m:lMargin m:val="0"/>
    <m:rMargin m:val="0"/>
    <m:defJc m:val="centerGroup"/>
    <m:wrapIndent m:val="1440"/>
    <m:intLim m:val="subSup"/>
    <m:naryLim m:val="undOvr"/>
  </m:mathPr>
  <w:themeFontLang w:val="en-PH"/>
  <w:clrSchemeMapping w:bg1="light1" w:t1="dark1" w:bg2="light2" w:t2="dark2" w:accent1="accent1" w:accent2="accent2" w:accent3="accent3" w:accent4="accent4" w:accent5="accent5" w:accent6="accent6" w:hyperlink="hyperlink" w:followedHyperlink="followedHyperlink"/>
  <w:decimalSymbol w:val="."/>
  <w:listSeparator w:val=","/>
  <w14:docId w14:val="7277A535"/>
  <w15:chartTrackingRefBased/>
  <w15:docId w15:val="{2D7C59D8-1942-DB44-B1AF-FAE4A8B03F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PH"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eastAsiaTheme="minorEastAsia"/>
    </w:rPr>
  </w:style>
  <w:style w:type="paragraph" w:styleId="Heading1">
    <w:name w:val="heading 1"/>
    <w:basedOn w:val="Normal"/>
    <w:link w:val="Heading1Char"/>
    <w:uiPriority w:val="9"/>
    <w:qFormat/>
    <w:rsid w:val="001E4D6C"/>
    <w:pPr>
      <w:spacing w:before="100" w:beforeAutospacing="1" w:after="100" w:afterAutospacing="1"/>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E4D6C"/>
    <w:rPr>
      <w:rFonts w:ascii="Times New Roman" w:eastAsia="Times New Roman" w:hAnsi="Times New Roman" w:cs="Times New Roman"/>
      <w:b/>
      <w:bCs/>
      <w:kern w:val="36"/>
      <w:sz w:val="48"/>
      <w:szCs w:val="48"/>
    </w:rPr>
  </w:style>
  <w:style w:type="paragraph" w:styleId="NormalWeb">
    <w:name w:val="Normal (Web)"/>
    <w:basedOn w:val="Normal"/>
    <w:uiPriority w:val="99"/>
    <w:semiHidden/>
    <w:unhideWhenUsed/>
    <w:rsid w:val="001E4D6C"/>
    <w:pPr>
      <w:spacing w:before="100" w:beforeAutospacing="1" w:after="100" w:afterAutospacing="1"/>
    </w:pPr>
    <w:rPr>
      <w:rFonts w:ascii="Times New Roman" w:eastAsia="Times New Roman" w:hAnsi="Times New Roman" w:cs="Times New Roman"/>
    </w:rPr>
  </w:style>
  <w:style w:type="character" w:styleId="Strong">
    <w:name w:val="Strong"/>
    <w:basedOn w:val="DefaultParagraphFont"/>
    <w:uiPriority w:val="22"/>
    <w:qFormat/>
    <w:rsid w:val="001E4D6C"/>
    <w:rPr>
      <w:b/>
      <w:bCs/>
    </w:rPr>
  </w:style>
  <w:style w:type="character" w:customStyle="1" w:styleId="apple-converted-space">
    <w:name w:val="apple-converted-space"/>
    <w:basedOn w:val="DefaultParagraphFont"/>
    <w:rsid w:val="001E4D6C"/>
  </w:style>
  <w:style w:type="character" w:customStyle="1" w:styleId="apple-style-span">
    <w:name w:val="apple-style-span"/>
    <w:basedOn w:val="DefaultParagraphFont"/>
    <w:rsid w:val="001E4D6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34632684">
      <w:bodyDiv w:val="1"/>
      <w:marLeft w:val="0"/>
      <w:marRight w:val="0"/>
      <w:marTop w:val="0"/>
      <w:marBottom w:val="0"/>
      <w:divBdr>
        <w:top w:val="none" w:sz="0" w:space="0" w:color="auto"/>
        <w:left w:val="none" w:sz="0" w:space="0" w:color="auto"/>
        <w:bottom w:val="none" w:sz="0" w:space="0" w:color="auto"/>
        <w:right w:val="none" w:sz="0" w:space="0" w:color="auto"/>
      </w:divBdr>
      <w:divsChild>
        <w:div w:id="720977371">
          <w:marLeft w:val="0"/>
          <w:marRight w:val="0"/>
          <w:marTop w:val="0"/>
          <w:marBottom w:val="0"/>
          <w:divBdr>
            <w:top w:val="none" w:sz="0" w:space="0" w:color="auto"/>
            <w:left w:val="none" w:sz="0" w:space="0" w:color="auto"/>
            <w:bottom w:val="none" w:sz="0" w:space="0" w:color="auto"/>
            <w:right w:val="none" w:sz="0" w:space="0" w:color="auto"/>
          </w:divBdr>
        </w:div>
      </w:divsChild>
    </w:div>
    <w:div w:id="1108357549">
      <w:bodyDiv w:val="1"/>
      <w:marLeft w:val="0"/>
      <w:marRight w:val="0"/>
      <w:marTop w:val="0"/>
      <w:marBottom w:val="0"/>
      <w:divBdr>
        <w:top w:val="none" w:sz="0" w:space="0" w:color="auto"/>
        <w:left w:val="none" w:sz="0" w:space="0" w:color="auto"/>
        <w:bottom w:val="none" w:sz="0" w:space="0" w:color="auto"/>
        <w:right w:val="none" w:sz="0" w:space="0" w:color="auto"/>
      </w:divBdr>
    </w:div>
    <w:div w:id="1324504841">
      <w:bodyDiv w:val="1"/>
      <w:marLeft w:val="0"/>
      <w:marRight w:val="0"/>
      <w:marTop w:val="0"/>
      <w:marBottom w:val="0"/>
      <w:divBdr>
        <w:top w:val="none" w:sz="0" w:space="0" w:color="auto"/>
        <w:left w:val="none" w:sz="0" w:space="0" w:color="auto"/>
        <w:bottom w:val="none" w:sz="0" w:space="0" w:color="auto"/>
        <w:right w:val="none" w:sz="0" w:space="0" w:color="auto"/>
      </w:divBdr>
    </w:div>
    <w:div w:id="1614049817">
      <w:bodyDiv w:val="1"/>
      <w:marLeft w:val="0"/>
      <w:marRight w:val="0"/>
      <w:marTop w:val="0"/>
      <w:marBottom w:val="0"/>
      <w:divBdr>
        <w:top w:val="none" w:sz="0" w:space="0" w:color="auto"/>
        <w:left w:val="none" w:sz="0" w:space="0" w:color="auto"/>
        <w:bottom w:val="none" w:sz="0" w:space="0" w:color="auto"/>
        <w:right w:val="none" w:sz="0" w:space="0" w:color="auto"/>
      </w:divBdr>
    </w:div>
    <w:div w:id="20242417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TotalTime>
  <Pages>11</Pages>
  <Words>2311</Words>
  <Characters>13178</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Philip John Amante</dc:creator>
  <cp:keywords/>
  <dc:description/>
  <cp:lastModifiedBy>Philip John Amante</cp:lastModifiedBy>
  <cp:revision>1</cp:revision>
  <cp:lastPrinted>2019-01-21T04:22:00Z</cp:lastPrinted>
  <dcterms:created xsi:type="dcterms:W3CDTF">2019-01-21T04:00:00Z</dcterms:created>
  <dcterms:modified xsi:type="dcterms:W3CDTF">2019-01-24T23:05:00Z</dcterms:modified>
</cp:coreProperties>
</file>